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C9543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233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192B99" w:rsidRDefault="00192B99" w:rsidP="00192B9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7E4">
              <w:rPr>
                <w:rFonts w:ascii="Times New Roman" w:hAnsi="Times New Roman"/>
                <w:b/>
                <w:sz w:val="28"/>
              </w:rPr>
              <w:t xml:space="preserve">О </w:t>
            </w:r>
            <w:r w:rsidRPr="004D47E4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результатах деятельности </w:t>
            </w:r>
          </w:p>
          <w:p w:rsidR="00192B99" w:rsidRDefault="00192B99" w:rsidP="00192B9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791F">
              <w:rPr>
                <w:rFonts w:ascii="Times New Roman" w:hAnsi="Times New Roman"/>
                <w:b/>
                <w:sz w:val="28"/>
                <w:szCs w:val="28"/>
              </w:rPr>
              <w:t xml:space="preserve">Главы Демянского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округа</w:t>
            </w:r>
            <w:r w:rsidRPr="004D47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</w:p>
          <w:p w:rsidR="00192B99" w:rsidRDefault="00192B99" w:rsidP="00192B9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47E4">
              <w:rPr>
                <w:rFonts w:ascii="Times New Roman" w:hAnsi="Times New Roman"/>
                <w:b/>
                <w:sz w:val="28"/>
                <w:szCs w:val="28"/>
              </w:rPr>
              <w:t>Администрации Демянского муниципально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 округа </w:t>
            </w:r>
          </w:p>
          <w:p w:rsidR="00A16C6D" w:rsidRPr="004C03E5" w:rsidRDefault="00192B99" w:rsidP="00192B9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2024 год</w:t>
            </w:r>
          </w:p>
        </w:tc>
      </w:tr>
    </w:tbl>
    <w:p w:rsidR="009C041D" w:rsidRDefault="009C041D" w:rsidP="009C041D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B99" w:rsidRPr="00904B6F" w:rsidRDefault="00192B99" w:rsidP="00192B9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B6F">
        <w:rPr>
          <w:rFonts w:ascii="Times New Roman" w:eastAsia="Calibri" w:hAnsi="Times New Roman" w:cs="Times New Roman"/>
          <w:sz w:val="28"/>
          <w:szCs w:val="28"/>
        </w:rPr>
        <w:t>В соответствии с частями 5 и 5.1 статьи 36 Федерального 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Pr="00904B6F">
        <w:rPr>
          <w:rFonts w:ascii="Times New Roman" w:eastAsia="Calibri" w:hAnsi="Times New Roman" w:cs="Times New Roman"/>
          <w:sz w:val="28"/>
          <w:szCs w:val="28"/>
        </w:rPr>
        <w:t>6 октября 2005 года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Дума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192B99" w:rsidRPr="00904B6F" w:rsidRDefault="00192B99" w:rsidP="00192B99">
      <w:pPr>
        <w:spacing w:after="0" w:line="36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B6F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192B99" w:rsidRPr="00904B6F" w:rsidRDefault="00192B99" w:rsidP="00192B9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B6F">
        <w:rPr>
          <w:rFonts w:ascii="Times New Roman" w:eastAsia="Calibri" w:hAnsi="Times New Roman" w:cs="Times New Roman"/>
          <w:sz w:val="28"/>
          <w:szCs w:val="28"/>
        </w:rPr>
        <w:t>1. Утвердить прилагаемый от</w:t>
      </w:r>
      <w:r>
        <w:rPr>
          <w:rFonts w:ascii="Times New Roman" w:eastAsia="Calibri" w:hAnsi="Times New Roman" w:cs="Times New Roman"/>
          <w:sz w:val="28"/>
          <w:szCs w:val="28"/>
        </w:rPr>
        <w:t>чет Главы муниципального округа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Сапогова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А.Н. 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«О результатах деятельности Главы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и Администрации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год».</w:t>
      </w:r>
    </w:p>
    <w:p w:rsidR="00192B99" w:rsidRPr="00904B6F" w:rsidRDefault="00192B99" w:rsidP="00192B99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B6F">
        <w:rPr>
          <w:rFonts w:ascii="Times New Roman" w:eastAsia="Calibri" w:hAnsi="Times New Roman" w:cs="Times New Roman"/>
          <w:sz w:val="28"/>
          <w:szCs w:val="28"/>
        </w:rPr>
        <w:t>2. Признать деятельность Главы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Сапогова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А.Н.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и Администрации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63B" w:rsidRPr="00904B6F">
        <w:rPr>
          <w:rFonts w:ascii="Times New Roman" w:eastAsia="Calibri" w:hAnsi="Times New Roman" w:cs="Times New Roman"/>
          <w:sz w:val="28"/>
          <w:szCs w:val="28"/>
        </w:rPr>
        <w:t>удовлетворительной</w:t>
      </w:r>
      <w:r w:rsidRPr="00904B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B99" w:rsidRPr="00904B6F" w:rsidRDefault="00192B99" w:rsidP="00192B99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3. Опубликовать решение в Информационном Бюллетене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904B6F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904B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B99" w:rsidRDefault="00192B99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B82138" w:rsidRPr="00130D37" w:rsidRDefault="00B82138" w:rsidP="00DB2BB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B82138" w:rsidRPr="00130D37" w:rsidRDefault="005821AB" w:rsidP="00DB2BB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председателя Думы </w:t>
            </w:r>
            <w:bookmarkStart w:id="0" w:name="_GoBack"/>
            <w:bookmarkEnd w:id="0"/>
            <w:r w:rsidRPr="00582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Е.И. Егоров</w:t>
            </w:r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4C70" w:rsidRDefault="00192B99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аа</w:t>
      </w:r>
      <w:proofErr w:type="spellEnd"/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E4C70" w:rsidSect="008856C9">
          <w:headerReference w:type="default" r:id="rId10"/>
          <w:pgSz w:w="11906" w:h="16840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C7FD4" w:rsidTr="009C041D">
        <w:tc>
          <w:tcPr>
            <w:tcW w:w="5778" w:type="dxa"/>
          </w:tcPr>
          <w:p w:rsidR="007C7FD4" w:rsidRDefault="007C7FD4" w:rsidP="00EE133A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7C7FD4" w:rsidRPr="00A45764" w:rsidRDefault="007C7FD4" w:rsidP="00EE133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C7FD4" w:rsidRDefault="007C7FD4" w:rsidP="00EE133A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7C7FD4" w:rsidRDefault="00D91287" w:rsidP="009C041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1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27.02.2025</w:t>
            </w:r>
            <w:r w:rsidR="007C7FD4"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0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  <w:r w:rsidR="00DE4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0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7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FD4" w:rsidRDefault="007C7FD4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21AB" w:rsidRDefault="00C95431" w:rsidP="00C95431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C95431">
        <w:rPr>
          <w:rFonts w:ascii="Times New Roman" w:eastAsia="Calibri" w:hAnsi="Times New Roman" w:cs="Times New Roman"/>
          <w:b/>
          <w:sz w:val="28"/>
          <w:szCs w:val="28"/>
        </w:rPr>
        <w:t>тчет Главы муниципального округа Сапогова А.Н.</w:t>
      </w:r>
    </w:p>
    <w:p w:rsidR="005821AB" w:rsidRDefault="00C95431" w:rsidP="00C95431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5431">
        <w:rPr>
          <w:rFonts w:ascii="Times New Roman" w:eastAsia="Calibri" w:hAnsi="Times New Roman" w:cs="Times New Roman"/>
          <w:b/>
          <w:sz w:val="28"/>
          <w:szCs w:val="28"/>
        </w:rPr>
        <w:t>«О результатах деятельности Главы Демянского муниципального округа и Администрации Демянского муниципального округа</w:t>
      </w:r>
    </w:p>
    <w:p w:rsidR="00C95431" w:rsidRPr="00C95431" w:rsidRDefault="00C95431" w:rsidP="00C95431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5431">
        <w:rPr>
          <w:rFonts w:ascii="Times New Roman" w:eastAsia="Calibri" w:hAnsi="Times New Roman" w:cs="Times New Roman"/>
          <w:b/>
          <w:sz w:val="28"/>
          <w:szCs w:val="28"/>
        </w:rPr>
        <w:t xml:space="preserve"> за 2024 год»</w:t>
      </w:r>
    </w:p>
    <w:p w:rsidR="00C95431" w:rsidRDefault="00C95431" w:rsidP="007C7FD4">
      <w:pPr>
        <w:autoSpaceDE w:val="0"/>
        <w:autoSpaceDN w:val="0"/>
        <w:adjustRightInd w:val="0"/>
        <w:spacing w:after="0" w:line="240" w:lineRule="auto"/>
        <w:ind w:left="112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5431" w:rsidRPr="005A7780" w:rsidRDefault="00C95431" w:rsidP="005A7780">
      <w:pPr>
        <w:tabs>
          <w:tab w:val="left" w:pos="992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Вашему вниманию отчет о результатах работы Главы и Администрации Демянского муниципального округа за 2024 год.</w:t>
      </w:r>
    </w:p>
    <w:p w:rsidR="00C95431" w:rsidRPr="005A7780" w:rsidRDefault="00C95431" w:rsidP="005A7780">
      <w:pPr>
        <w:tabs>
          <w:tab w:val="left" w:pos="992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4472C4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sz w:val="28"/>
          <w:szCs w:val="28"/>
        </w:rPr>
        <w:t>В истекшем году мы работали в новых условиях, в связи с переходом в округ.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431" w:rsidRPr="005A7780" w:rsidRDefault="00C95431" w:rsidP="005A7780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78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Формирование, утверждение, исполнение бюджета округа и </w:t>
      </w:r>
      <w:proofErr w:type="gramStart"/>
      <w:r w:rsidRPr="005A778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контроль за</w:t>
      </w:r>
      <w:proofErr w:type="gramEnd"/>
      <w:r w:rsidRPr="005A7780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его исполнением,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осуществляется администрацией округа с соблюдением требований, установленных бюджетным кодексом Р</w:t>
      </w:r>
      <w:r w:rsidR="00E5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оссийской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E560D3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95431" w:rsidRPr="005A7780" w:rsidRDefault="00C95431" w:rsidP="005A778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780">
        <w:rPr>
          <w:rFonts w:ascii="Times New Roman" w:eastAsia="Calibri" w:hAnsi="Times New Roman" w:cs="Times New Roman"/>
          <w:bCs/>
          <w:sz w:val="28"/>
          <w:szCs w:val="28"/>
        </w:rPr>
        <w:t xml:space="preserve">Доходная часть бюджета округа за 2024 год составила </w:t>
      </w:r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629 </w:t>
      </w:r>
      <w:proofErr w:type="gramStart"/>
      <w:r w:rsidRPr="005A778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 рублей или 108 % от планового значения. В том числе налоговые и неналоговые доходы – 213 </w:t>
      </w:r>
      <w:proofErr w:type="gramStart"/>
      <w:r w:rsidRPr="005A778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 рублей, или 130 % к годовому плану и 119 % к 2023 году. Наибольший удельный вес составляет поступление по налогу на доходы физических лиц – 61 % (129 </w:t>
      </w:r>
      <w:proofErr w:type="gramStart"/>
      <w:r w:rsidRPr="005A778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 рублей). </w:t>
      </w:r>
    </w:p>
    <w:p w:rsidR="00C95431" w:rsidRPr="005A7780" w:rsidRDefault="00C95431" w:rsidP="005A77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В 2024 году безвозмездные поступления от других бюджетов бюджетной системы составили 417 </w:t>
      </w:r>
      <w:proofErr w:type="gramStart"/>
      <w:r w:rsidRPr="005A778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 рублей, что ниже показателя 2023 года на 80 млн рублей.</w:t>
      </w:r>
    </w:p>
    <w:p w:rsidR="00C95431" w:rsidRPr="005A7780" w:rsidRDefault="00C95431" w:rsidP="005A778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Расходы бюджета Демянского муниципального округа исполнены в сумме 608 </w:t>
      </w:r>
      <w:proofErr w:type="gramStart"/>
      <w:r w:rsidRPr="005A778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 рублей или 94 % к годовому плану, что ниже прошлого года на 78 млн рублей. Расходы на образование, культуру, социальную политику, физическую культуру и спорт составили в 2024 году 65% всех бюджетных расходов. Доля расходов на сферу ЖКХ и дорожного хозяйства – 18%.</w:t>
      </w:r>
    </w:p>
    <w:p w:rsidR="00C95431" w:rsidRPr="005A7780" w:rsidRDefault="00C95431" w:rsidP="005A778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статистики среднемесячная заработная плата в округе за январь-ноябрь 2024 года составляет 44890,3 рублей, темп роста по сравнению с аналогичным периодом 2023 года составил 109,9 %. Общая численность работающих в районе по крупным и средним предприятиям, организациям и учреждениям составила 1243 человека.</w:t>
      </w:r>
    </w:p>
    <w:p w:rsidR="00C95431" w:rsidRPr="005A7780" w:rsidRDefault="00C95431" w:rsidP="005A778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Стабильной остается ситуация на рынке труда.  На 31 декабря 2024 года численность безработных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Демянского муниципального округа составила 35 человек, количество вакансий на начало 2025 года – 29, уровень безработицы 0,7%. </w:t>
      </w:r>
    </w:p>
    <w:p w:rsidR="00C95431" w:rsidRPr="005A7780" w:rsidRDefault="00C95431" w:rsidP="005A778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содействием в поиске работы в отдел занятости населения обратился 271 гражданин, из них признаны безработными – 161, трудоустроено - 213. Доля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трудоустроенных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- 79 %. </w:t>
      </w:r>
    </w:p>
    <w:p w:rsidR="00C95431" w:rsidRPr="005A7780" w:rsidRDefault="00C95431" w:rsidP="005A778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заключено 89 социальных контрактов,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плане 88, из них 24 – содействие в поиске работы, 15 — на осуществление 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предпринимательской деятельности, 8 – развитие личного подсобного хозяйства, 42 – материальная поддержка в трудной жизненной ситуации.</w:t>
      </w:r>
    </w:p>
    <w:p w:rsidR="00C95431" w:rsidRPr="005A7780" w:rsidRDefault="00C95431" w:rsidP="005A778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инвестиций в основной капитал в 2024 году (за январь-сентябрь) составил 564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85% к аналогичному периоду 2023г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из них бюджетные инвестиции 479 млн рублей.</w:t>
      </w:r>
    </w:p>
    <w:p w:rsidR="00C95431" w:rsidRPr="005A7780" w:rsidRDefault="00C95431" w:rsidP="005A7780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sz w:val="28"/>
          <w:szCs w:val="28"/>
        </w:rPr>
        <w:t>Реализовывались инвестиционные проекты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431" w:rsidRPr="005A7780" w:rsidRDefault="00C95431" w:rsidP="005A7780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набережной в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Демянск (1 этап),</w:t>
      </w:r>
    </w:p>
    <w:p w:rsidR="00C95431" w:rsidRPr="005A7780" w:rsidRDefault="00C95431" w:rsidP="005A7780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объекта капитального строительства областного автономного учреждения социального обслуживания «Демянский комплексный центр социального обслуживания населения»,</w:t>
      </w:r>
    </w:p>
    <w:p w:rsidR="00C95431" w:rsidRPr="005A7780" w:rsidRDefault="00C95431" w:rsidP="005A7780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 ремонт терапевтического отделения Демянской ЦРБ,</w:t>
      </w:r>
    </w:p>
    <w:p w:rsidR="00C95431" w:rsidRPr="005A7780" w:rsidRDefault="00C95431" w:rsidP="005A7780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сельском хозяйстве: по выращиванию и переработке овощей закрытого грунта, по развитию фермерского хозяйства по разведению КРС,</w:t>
      </w:r>
    </w:p>
    <w:p w:rsidR="00C95431" w:rsidRPr="005A7780" w:rsidRDefault="00C95431" w:rsidP="005A7780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туризма реализуется проект по созданию туристско-рекреационного кластера «Красота»,</w:t>
      </w:r>
    </w:p>
    <w:p w:rsidR="00C95431" w:rsidRPr="005A7780" w:rsidRDefault="00C95431" w:rsidP="005A7780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noProof/>
          <w:sz w:val="28"/>
          <w:szCs w:val="28"/>
        </w:rPr>
        <w:t>реконструкция участка дороги Валдай – Демянск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431" w:rsidRPr="005A7780" w:rsidRDefault="00C95431" w:rsidP="005A7780">
      <w:pPr>
        <w:tabs>
          <w:tab w:val="left" w:pos="127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2025 года на территории округа зарегистрировано 198 индивидуальных предпринимателей, 49 малых и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осуществляют деятельность 757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431" w:rsidRPr="005A7780" w:rsidRDefault="00C95431" w:rsidP="005A77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Предусмотрена и осуществляется финансовая поддержка </w:t>
      </w:r>
      <w:proofErr w:type="spellStart"/>
      <w:proofErr w:type="gramStart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предпри</w:t>
      </w:r>
      <w:r w:rsidR="00E560D3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нимателей</w:t>
      </w:r>
      <w:proofErr w:type="spellEnd"/>
      <w:proofErr w:type="gramEnd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организаций, которые осуществляют торговое обслуживание отдаленных и труднодоступных населенных пунктов, а также обеспечивают дровами членов семей граждан, участвующих в СВО. В текущем году получили субсидии 4 субъекта МСП в общей сумме 2,3 </w:t>
      </w:r>
      <w:proofErr w:type="gramStart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 </w:t>
      </w:r>
    </w:p>
    <w:p w:rsidR="00C95431" w:rsidRPr="005A7780" w:rsidRDefault="00C95431" w:rsidP="005A77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Из средств федерального и областного бюджетов предоставлены субсидии трём сельскохозяйственным предприятиям в общей сумме 3,5 </w:t>
      </w:r>
      <w:proofErr w:type="gramStart"/>
      <w:r w:rsidRPr="005A7780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 рублей, одна </w:t>
      </w: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получила субсидию на развитие инфраструктуры туризма в рамках приобретения туристского оборудования в сумме 982 тыс. руб.</w:t>
      </w:r>
    </w:p>
    <w:p w:rsidR="00C95431" w:rsidRPr="005A7780" w:rsidRDefault="00C95431" w:rsidP="005A77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Услугами Новгородского Фонда поддержки малого </w:t>
      </w:r>
      <w:proofErr w:type="spellStart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предприни</w:t>
      </w:r>
      <w:r w:rsidR="00E560D3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мательства</w:t>
      </w:r>
      <w:proofErr w:type="spellEnd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воспользовались 4 субъекта предпринимательства, предоставлено 4 </w:t>
      </w:r>
      <w:proofErr w:type="spellStart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микрозайма</w:t>
      </w:r>
      <w:proofErr w:type="spellEnd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сумме 7,6 </w:t>
      </w:r>
      <w:proofErr w:type="gramStart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рынок туристских услуг, туристская инфраструктура.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в реестр объектов размещения туристов включено 8 объектов с номерным фондом 308 койко-мест. Количество койко-мест в 2024 году увеличилось на 43 % (с 216 до 308 койко-мест) по сравнению с 2023 годом, в связи с открытием с февраля 2024 года гостевого дома ООО «Подворье»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Демянск, а также увеличением койко-мест в гостиничном комплексе «Селигер-клуб». В 2024 году количество размещенных туристов выросло на 63% (2910 и 1785).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Реализуемый ООО «Смарт-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Глэмпинг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-Селигер» инвестиционный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по развитию туристско-рекреационного кластера «Красота» на территории Демянского округа привлечет ещё большее количество туристов и создаст новые рабочие места. В прошедшем году организация получила субсидию на приобретение туристского оборудования. В текущем году участвуют в отборе на получение субсидии из федерального бюджета на приобретение модульных некапитальных средств размещения.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сельского хозяйства в 2024 году продолжена реализация 2 инвестиционных проектов. Общий объем финансирования по проектам составляет 38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 Васильев Г.Ю. реализует проект по развитию мясного животноводства. Стоимость проекта – 5,5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срок реализации проекта до 2028 года.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Фермерским хозяйством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Шишина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реализуется проект по развитию семейной фермы по созданию цеха переработки овощной продукции. Объем инвестиций – 32,3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срок реализации проекта – до 2027 года.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«Новгородский гектар» в безвозмездном пользовании находится 17 земельных участков общей площадью 855 га. В том числе в истекшем году предоставлен 1 земельный участок общей площадью 155 га (под сев многолетних трав, ведения пчеловодства).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растениеводстве ООО «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Агроферма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Демянская» в прошлом году увеличила посевные площади,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провела сев озимых и яровых культур на площади 885 га (126% от посевов 2023 года), валовый сбор составил 1600 тонн (2,1 раза). Введен в эксплуатацию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зерновой ангар, приобрели специализированную технику – комбайн. В прошедшем году предприятие воспользовалось субсидиями из средств областного и федерального бюджетов </w:t>
      </w: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финансовое обеспечение части затрат на проведение агротехнологических работ, на возмещение части затрат на приобретение элитных семян сельскохозяйственных культур, на возмещение затрат, начисленных по договорам сельскохозяйственного страхования в общей сумме 2,9 </w:t>
      </w:r>
      <w:proofErr w:type="gramStart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Рыбоводческими хозяйствами в 2024 году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выращено 733 тонны товарной рыбы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(139 % к уровню 2023 года),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реализовано 480 т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(110% к уровню</w:t>
      </w:r>
      <w:r w:rsidRPr="005A77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2023 года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Доля округа по производству товарной рыбы в объеме области составляет 50,2 %.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приоритетов деятельности органов местного самоуправления является создание максимально комфортных условий для проживания населения.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году, в рамках региональной составляющей федерального проекта «Формирование комфортной городской среды», входящей в национальный проект «Жилье и городская среда», благоустроена территория, прилегающая к рыночной площади по ул. Володарского в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Демянск с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устройством пешеходной дорожки, территории отдыха, фотопанно, скамеек, урн, озеленений. Стоимость работ составила 2,0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A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планируется обустройство пешеходной дорожки в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Демянск по улице Урицкого.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Проводились работы первого этапа по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благоустройству набережной в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Демянск. (стоимость работ – 30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Осуществлен монтаж ливневых очистных сооружений, установлена металлическая конструкция для размещения зоны отдыха, укреплен берег, осуществлена подсыпка, обустроены дорожка и озеленение. Сроки</w:t>
      </w:r>
      <w:r w:rsidRPr="005A7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выполнения работ первого этапа продлены до июня 2025 года.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Закончены работы по расчистке русла реки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Явонь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Демянск.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приоритетного регионального проекта «Народный бюджет» </w:t>
      </w:r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выполнены работы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сквера у школы искусств, установлена</w:t>
      </w:r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конструкция светового фонтана.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работ по проекту составила 2,6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проводились работы по ремонту и замене ламп уличного освещения, по содержанию в надлежащем состоянии общественных террито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рии, территории гражданского кладбища, очистке от снега дорожек и подъездов к социальным учреждениям, благоустройству и озеленению поселка, уборке мусора, по спиливанию аварийных деревьев, по дезинсекции общественных территорий, ликвидации несанкционированных свалок ТКО на общую сумму 6,6 млн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отделами Администрации в 2024 году на мероприятия по благоустройству сельских территорий, содержание дорог, обеспечение жизнедеятельности территории направлено 9,5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реализацию мероприятий по уничтожению борщевика Сосновского было направлено 1,4 </w:t>
      </w:r>
      <w:proofErr w:type="gramStart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млн</w:t>
      </w:r>
      <w:proofErr w:type="gramEnd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рублей, обработанная площадь составила 142 га. </w:t>
      </w:r>
      <w:r w:rsidRPr="005A7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текущем году планируется обработать 87 га земель, на общую сумму 1,8 </w:t>
      </w:r>
      <w:proofErr w:type="gramStart"/>
      <w:r w:rsidRPr="005A7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млн</w:t>
      </w:r>
      <w:proofErr w:type="gramEnd"/>
      <w:r w:rsidRPr="005A7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рублей.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78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программы Новгородской области «Создание и восстановление воинских захоронений на территории Новгородской области на 2019-2024 годы»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Демянского муниципального округа проведены восстановительные работы на 7 воинских захоронениях на общую сумму 21 млн рублей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д. </w:t>
      </w:r>
      <w:proofErr w:type="spellStart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Подсосонье</w:t>
      </w:r>
      <w:proofErr w:type="spellEnd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</w:t>
      </w:r>
      <w:proofErr w:type="gramStart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.П</w:t>
      </w:r>
      <w:proofErr w:type="gramEnd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ески</w:t>
      </w:r>
      <w:proofErr w:type="spellEnd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д.Муры</w:t>
      </w:r>
      <w:proofErr w:type="spellEnd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д.Цемена</w:t>
      </w:r>
      <w:proofErr w:type="spellEnd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, в Демянске захоронения «Пять братских могил», «Саперы» по </w:t>
      </w:r>
      <w:proofErr w:type="spellStart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ул.Кооперативная</w:t>
      </w:r>
      <w:proofErr w:type="spellEnd"/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и</w:t>
      </w:r>
      <w:r w:rsidRPr="005A77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мемориал войнам Северо-Западного фронта</w:t>
      </w:r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вышеуказанной программы выполнили благоустройство территории мемориала в честь воинов Северо-Западного фронта на общую сумму 13,5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рублей. С целью сохранения объекта культурного наследия </w:t>
      </w:r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«Барельеф с изображениями эпизодов войны» в 2024 году разработана проектно-сметная документация на ремонт объекта. Стоимость работ 1,9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мае-июне 2024 года проведены работы по благоустройству воинского захоронения в д. Каменная Гора за счет внебюджетных средств в объеме 4,2 </w:t>
      </w:r>
      <w:proofErr w:type="gramStart"/>
      <w:r w:rsidRPr="005A7780">
        <w:rPr>
          <w:rFonts w:ascii="Times New Roman" w:eastAsia="Calibri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запланировано восстановление 2 воинских захоронений (п.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Кневицы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Вотолино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автомобильных дорог в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Демянск и округе за 2024 год израсходовано 16,6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ремонт – 16,1 млн рублей.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приоритетному региональному проекту «Дорога к дому» в</w:t>
      </w:r>
      <w:r w:rsidR="00E56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Демянск отремонтирована дорога по улице Кооперативная,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</w:t>
      </w:r>
      <w:r w:rsidR="00E560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</w:t>
      </w:r>
      <w:proofErr w:type="spellEnd"/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1,1 км.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приоритетного регионального проекта «Обеспечение дорожной и инженерной инфраструктурой земельных массивов, в которых осуществляется предоставление земельных участков гражданам льготных категорий» проведен ремонт автомобильной дороги по улице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Мирная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протяженностью 1,1 км.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августе на выездном заседании Правительства, которое проходило в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Демянск, губернатор поддержал нашу просьбу о выделении средств на ремонт дороги, ведущей к социальным объектам в Больничном городке. И в текущем году будет проведен ремонт данной автомобильной дороги.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 пешеходный переход в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Демянск по ул.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(установлены ограждение и светофор Т-4). В п.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Кневицы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установлен светофор и нанесена дорожная разметка.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ремонт участка дороги в д.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Крутуша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переходом в округ и перераспределением бюджетных средств появилась возможность решать вопросы развития территории, которые ранее не были решены из-за отсутствия финансирования. Таким образом, отремонтированы мосты в д.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Бажонка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Черный Ручей.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A7780">
        <w:rPr>
          <w:rFonts w:ascii="Times New Roman" w:eastAsia="Calibri" w:hAnsi="Times New Roman" w:cs="Times New Roman"/>
          <w:noProof/>
          <w:sz w:val="28"/>
          <w:szCs w:val="28"/>
        </w:rPr>
        <w:t xml:space="preserve">В прошлом году завершены работы по реконструкции участка дороги Валдай – Демянск в рамках нацпроекта «Безопасные качественные дороги». Протяженность работ на территории округа более 32 км.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муниципальной программе «Организация транспортного обслуживания населения на территории Демянского муниципального округа на 2024-2030 годы» организовано движение по 7 муниципальным маршрутам (перевозчик ООО «Демянское АТП»). С 01 июля 2024 года по просьбе населения добавился муниципальный маршрут до д. Приволье.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обновления автобусного парка, ООО «Демянское АТП» приобрело в лизинг 2 пригородных автобуса ПАЗ 32053.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муниципального бюджета проведен капитальный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ремонт в 4 квартирах муниципального жилого фонда: отремонтировано печное оборудование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(д. </w:t>
      </w:r>
      <w:proofErr w:type="spellStart"/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Вотолино</w:t>
      </w:r>
      <w:proofErr w:type="spellEnd"/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с. Лычково, 2 квартиры в </w:t>
      </w:r>
      <w:proofErr w:type="spellStart"/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р.п</w:t>
      </w:r>
      <w:proofErr w:type="spellEnd"/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Демянск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электропроводка (стоимость работ 542 тыс. рублей), а также помещение в здании музея в с. Лычково (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туалет,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сумма работ 266 тыс. руб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  <w:proofErr w:type="gramEnd"/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Регионального фонда капитального ремонта выполнены работы по ремонту крыш многоквартирных домов в п.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Кневицы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Филиппова Гора и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Лычково.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модернизации отделений почтовой связи «Почта России» проведен комплексный ремонт сельского отделения почтовой связи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Лычково.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работы по разработке Генерального плана и Правил землепользования и застройки Демянского муниципального округа </w:t>
      </w:r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счет средств Благотворительного фонда поддержки и развития Демянского района (2,4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рублей).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В настоящее время получено согласование Минэкономразвития России проектов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плана и Правил землепользования и застройки, 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назначены общественные обсуждения, по окончании которых проекты будут направлены в Думу Демянского округа на утверждение.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округа реализуются мероприятия, направленные на повышение качества питьевой воды.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E56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Новгородской области «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 и модернизация системы коммунального хозяйства Новгородской об</w:t>
      </w:r>
      <w:r w:rsidR="00E560D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ласти»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отремонтированы сети водоснабжения в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5A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r w:rsidRPr="005A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Демянск по улицам Халина, Буденного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Володарского, Крупской, общей протяженностью 1,8 км. </w:t>
      </w:r>
      <w:r w:rsidRPr="005A7780"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  <w:t xml:space="preserve">Выполнены </w:t>
      </w:r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работы по капитальному ремонту артезианской скважины </w:t>
      </w:r>
      <w:proofErr w:type="gramStart"/>
      <w:r w:rsidRPr="005A778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A7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Лычково.</w:t>
      </w:r>
      <w:r w:rsidRPr="005A7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Сумма направленных средств составила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9,8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родолжаются работы по муниципальному контракту </w:t>
      </w:r>
      <w:r w:rsidRPr="005A77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разработке проектов зон санитарной охраны (ЗСО) водозаборных скважин, получение необходимых заключений экологической и государственной экспертизы. Проведена постановка границ ЗСО на кадастровый учет. Все материалы предоставлены в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природных ресурсов, лесного хозяйства и экологии Новгородской области для получения лицензий.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развития газоснабжения и газификации Новгородской области на этапе 2023-2025 годов включено проектирование, в 2026-2027 г. планируется строительство межпоселкового газопровода Лычково –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Бажонка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отводом на п.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Кневицы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протяженностью 12 км. Ведется разработка проекта, согласовывается трасса прохождения газопровода. Планируется подключить 58 домовладений и установить одну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блокмодульную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котельную взамен угольной.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2024 году, в преддверии Дня Победы, на мемориале в честь воинов </w:t>
      </w:r>
      <w:r w:rsidRPr="005A77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Северо-Западного фронта впервые зажжен в режиме постоянного горения Вечный огонь, подключенный к сетевому природному газу. Работы проведены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«Газпром газораспределение Великий Новгород». Для сохранности объекта обеспечено видеонаблюдение.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году на территории Демянского округа введено в эксплуатацию 34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жилых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объекта, общей площадью 3391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что составляет 106% от планового показателя.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Введено в эксплуатацию 3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нежилых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(</w:t>
      </w:r>
      <w:r w:rsidRPr="005A77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сельскохозяйственных и 1 торговое предприятие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общей площадью 613 </w:t>
      </w:r>
      <w:proofErr w:type="spell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жизненно важных вопросов является развитие системы здравоохранения.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осуществлен капитальный ремонт здания терапевтического корпуса, стоимость ремонта – 94,9 </w:t>
      </w:r>
      <w:proofErr w:type="gramStart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оснащение здания направлено 38,5 млн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Приобретен и введен в эксплуатацию рентгенографический цифровой аппарат стоимостью 15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Приобретение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маммографической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флюорографической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установок планируется до 2027 года.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ГОБУЗ «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Дмянская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 работает 104 человека, в том числе 16 врачей и 50 среднего медицинского персонала, 5 младших медработников, 33 прочего (вспомогательного) персонала.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в центральной районной больнице приступил к работе молодой специалист – участковый врач.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губернаторского проекта «Здоровье каждого» ежегодно выезжает мобильная бригада врачей на муниципальные территории. Наш округ выездная бригада врачей посетила в августе прошлого года, 119 человек смогли пройти врачей узких специальностей, также работали передвижные кабинеты флюорографии и маммографии. В мае в наш округ выезжала мобильная бригада детских врачей.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Главной оценкой качества общего образования является государственная итоговая аттестация выпускников.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выпускников 11 классов (100%) успешно прошли государственную итоговую аттестацию по программам среднего общего образования, 1 выпускница награждена медалью «За особые успехи в учении» первой степени, 3 учащихся награждены медалью «За особые успехи» второй степени. 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2024 году на территории округа на базе образовательных организаций функционировало 10 лагерей с дневным пребыванием детей. Кроме этого, оздоровлением и обеспечением отдыха детей занимался Демянский комплексный центр социального обслуживания. Всего отдохнули 418 человек, что составило 30 % от общего количества детей от 7 до 17 лет. </w:t>
      </w: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Одна учащаяся отдохнула 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Международном детском центре «Артек». 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жильем детей-сирот и детей, оставшихся без попечения родителей, приобретены 5 квартир и выдан 1 сертификат на приобретение жилого помещения. </w:t>
      </w:r>
      <w:proofErr w:type="gramEnd"/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образовательных организациях Демянского муниципального округа учебный процесс осуществляет 133 педагогических работника. Молодых специалистов в возрасте до 35 лет – 4 педагога. Это составляет 3,0% от общей численности педагогических работников всех образовательных организаций округа.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привлечения кадров, разработана муниципальная программа поддержки молодых специалистов, в которой предусмотрена выплата подъемных при приеме на работу, а также выплата стипендии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ВУЗах в размере 1 МРОТ, в средних учебных заведениях – 5000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2024 года 1 выпускник заключил целевой договор по образовательной программе высшего образования по направлению «Педагогическое образование» (Всего за 2023-2024 заключено 3 договора).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федеральной программе «Земский учитель» в Демянской школе работает учитель музыки. Участникам программы округ предоставляет муниципальное жильё и единовременную выплату в размере 50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прошедшие годы в результате реализации федеральных, региональных проектов заметно изменились в лучшую сторону и возможности школ округа.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федерального проекта «Современная школа» на территории округа во всех общеобразовательных организациях функционируют Центры образования «Точка роста».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общеобразовательных школах реализуется региональный проект «Цифровая образовательная среда», в рамках которого школы обеспечиваются новой современной оргтехникой.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регионального проекта «Успех каждого ребенка» обустроена спортивная площадка, установлены современные тренажеры для сдачи норм ГТО на территории Демянской средней школы (стоимость работ – 2,3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проекту с сентября 2024 года в трех общеобразовательных организациях созданы 320 новых мест дополнительного образования детей для реализации программ художественной (школьный театр – 120 обучающихся) и туристско-краеведческой (школьные музеи и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турклубы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 100 обучающихся) направленностей.</w:t>
      </w:r>
      <w:proofErr w:type="gramEnd"/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регионального проекта «Стимулирование спроса на отечественные беспилотные авиационные системы» на базе Демянской средней школы с сентября 2024 года функционирует специализированный кружок, реализующий образовательные процессы по разработке, 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производству и эксплуатации БАС. В рамках проекта отремонтировано два учебных кабинета, которые оснащены современным оборудованием, 3 педагога прошли профессиональную переподготовку.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Calibri" w:hAnsi="Times New Roman" w:cs="Times New Roman"/>
          <w:color w:val="000000"/>
          <w:sz w:val="28"/>
          <w:szCs w:val="28"/>
        </w:rPr>
        <w:t>В сфере образования, в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государственной программы «Развитие инфраструктуры и модернизация систем образования Новгородской области» в сентябре 2024 года заключен контракт на проектирование и строительство пристройки на 200 мест к основному зданию Демянской средней школы. Общий объем финансирования 339,4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(2024 год - 6 060,00 тыс. рублей, 2025 год - 202 000,00 тыс. рублей, 2026 год - 131 300,00 тыс. рублей).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Открытие объекта панируется до 01 сентября 2026 года. 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граждан, систематически занимающихся физической культурой и спортом в 2024 году, составила 53,8 %.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в соответствии с календарным планом официальных спортивно-массовых и оздоровительных мероприятий организовано и проведено 90 мероприятий (декада спорта; 61 Спартакиада обучающихся Демянского муниципального округа; спортивные мероприятия в рамках реализации плана ГТО; велопробег «Дорогами Победы» и многие другие по различным видам спорта).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культурой и спортом в округе занимается 1668 детей, что составляет 96% от общей численности населения в возрасте от 3 до 18 лет. Во всех школах созданы и развиваются спортивные клубы, которые включены в единый перечень (реестр) школьных спортивных клубов.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продолжается реализация приоритетных региональных проектов «Будь в спорте» и «Активное долголетие».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за счет средств местного бюджета приобретена спортивная продукция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en-GB"/>
        </w:rPr>
        <w:t>, в том числе электронные винтовки для центра тестирования ГТО.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Учреждениями сферы культуры проводится большая работа патриотической направленности.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округа продолжается развитие Всероссийского детско-юношеского военно-патриотического движения «ЮНАРМИЯ».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Демянском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 действуют 2 отряда общей численностью 60 человек. В прошлом году в г. Старая Русса состоялся региональный Слет юнармейских отрядов Новгородской области, в котором участвовали и юнармейцы Демянского округа, на котором Даниле Сапрыкину была вручена медаль 3 степени «Юнармейская Доблесть». В сентябре Юнармейцы приняли участие в областном патриотическом походе в Старорусском муниципальном районе.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 культуры в течени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проведены различные мероприятия патриотической направленности, а также концерты в поддержку армии и специальной военной операции.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мероприятия, направленные на укрепление института семьи, сохранение духовно-нравственных ценностей.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Учреждения сферы культуры, местная общественная организация содействия социально-культурному развитию Демянского района «ПРО Демянск» (создана в апреле 2021г.) ежегодно участвует в федеральных и региональных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грантовых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реализуют на территории округа социально-значимые проекты. В 2024 году – это проект «Семейный клуб выходного дня «Ладошки». В рамках проекта проведен цикл познавательных, игровых, развивающих мероприятий, на средства гранта в Демянской библиотеке создали досуговое пространство «Ладошки» с модульной мягкой мебелью и оборудованием. А также проект «Большой семейный фестиваль в Демянске», который прошёл в рамках празднования Дня Демянска и Демянского округа.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Самодеятельный коллектив народный хор «Русская песня» участвовал </w:t>
      </w:r>
      <w:proofErr w:type="gramStart"/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Всероссийском хоровом фестивале, где завоевали звание лауреата </w:t>
      </w:r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степени.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Это крупнейшее музыкальное событие, которое объединило более 700 тысяч вокалистов из 70 регионов России.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Грантовая</w:t>
      </w:r>
      <w:proofErr w:type="spellEnd"/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поддержка Президентского фонда культурных инициатив позволила в округе в ноябре организовать I Открытый фестиваль народного творчества «В старину бывало» в рамках проекта «Уходящие традиции </w:t>
      </w:r>
      <w:proofErr w:type="spellStart"/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Демянских</w:t>
      </w:r>
      <w:proofErr w:type="spellEnd"/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деревень. Успеть передать».  Помимо концертной программы, посетители фестиваля поучаствовали в мастер-классах от лучших умельцев по декоративно-прикладному творчеству из Новгородского района, Демянского и </w:t>
      </w:r>
      <w:proofErr w:type="spellStart"/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Маревского</w:t>
      </w:r>
      <w:proofErr w:type="spellEnd"/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округов. Мастера из этих муниципальных образований представили свои изделия на выставке народных промыслов.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в округе реализуется проект «Новгородское лето». В 2024 году проведено 56 мероприятий, которые посетили 4080 человек (рост – 103 % к уровню прошлого года).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2024 году по федеральному проекту «Культура малой Родины» проведен текущий ремонт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Жирковского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клуба на сумму 650 тыс. рублей.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Центральная районная библиотека стала победителем приоритетного регионального проекта «Наш выбор». По данному проекту в 2024 году проведены работы по ремонту читальных залов на общую сумму 1,5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За счет средств муниципального бюджета в размере 225 тыс. рублей приобретена новая стеллажная система. В текущем году продолжатся ремонтные работы в центральной библиотеке, уже в рамках проекта «Народный бюджет».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по итогам областного конкурса в номинации «Учреждения сферы культуры, реализующие мероприятия в сфере государственной молодежной политики» молодежный центр «МИКС» стал победителем.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Демянская детская школа иску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сств ст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ала победителем регионального 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этапа общероссийского конкурса среди школ искусств в номинации «Лучшая сельская детская школа искусств» в 2024 году.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программы комплексного развития молодежной политики в регионах РФ «Регион для молодых», в 2024 году победителем конкурса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Росмолодежь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«ПОМНИ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..» 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проект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лычковских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«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Иммерсивная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экскурсия «Лишенные детства», который проходит в селе Лычково.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(Экскурсия включает посещение памятных мест, связанных с событиями Великой Отечественной войны, и будет представлена в форме спектакля от имени подростка, пережившего войну.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экскурсии — реальные воспоминания очевидцев, собранные командой проекта.)</w:t>
      </w:r>
      <w:proofErr w:type="gramEnd"/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проект команды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Лычковской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 «Поколение памяти» был презентован на областной конференции «Возвращенные из небытия». На конкурсе исследовательских проектов команда стала победителем в номинации «Без срока давности».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Демянском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 на базе муниципальных учреждений открыто 13 первичных отделений Движения Первых, в которых зарегистрированы 426 участников Движения. В прошлом году активисты приняли участие в мероприятиях, посвящённых памятным военно-историческим датам, ученики школ участвовали в разнообразных конкурсах, акциях, спортивных и торжественно-патриотических мероприятиях.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волонтерское движение.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Зарегистрированы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волонтёрских объединений и 248 волонтеров.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2024 года на базе автономной некоммерческой организации социального обслуживания населения «Центр социальной поддержки «София» открылся центр общественного развития «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направлению «серебряное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Центр был включен в заявку от Новгородской области на Всероссийский конкурс «Регион добрых дел» и получит финансирование на материально- техническое обеспечение в 2025 году.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работа по оказанию помощи участникам специальной военной операции и членам их семей. Жители принимают активное участие в сборе гуманитарной помощи и поддержке участников СВО. В текущем году осуществлено 7 доставок, направлено 4,5 тонны груза в зону специальной военной операции и на поддержку жителей Белгородской и Курской областей.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Семьям, участников СВО,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оказываются все меры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поддержки, реализуемые в Новгородской области.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Демянского муниципального округа активно реализуются практики инициативного бюджетирования.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 году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реализовано </w:t>
      </w:r>
      <w:r w:rsidRPr="005A77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 проектов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проекта - Наш выбор, 2- 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ППМИ, 10 проектов ТОС и 1 проект Народный бюджет, 1 – Дорога к дому).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проектам ТОС приобретено спортивное оборудование, обустроены места массового отдыха, проведено благоустройство территории, прилегающей к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соцобъектам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благоустройство воинских захоронений (в общей сумме 2,5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рублей). Всего в округе 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зарегистрированы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ведут свою деятельность 43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ТОСа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ППМИ реализованы в здании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Шишковского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клуба проведен ремонт и установлено спортоборудование (891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в с.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Полново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обустроена спортивная площадка с тренажерами, оборудовано футбольное поле (в сумме 690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 «Наш выбор» проведен ремонт в Демянской библиотеке.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детском саду «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заменены межкомнатные двери в раках проведения второго этапа ремонтных работ и работ по благоустройству детского сада «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общую сумму 940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в рамках Народного бюджета реализованы на территории сквера у школы искусств.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округе осуществляют свою деятельность 15 старост сельских населенных пунктов.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двое старост округа одержали победу в региональном конкурсе «Инициативный староста» и получили денежные средства в сумме 174 тыс. рублей на реализацию инициативных проектов (строительство колодца с благоустройством прилегающей территории в д.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Намещи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благоустройство центрального входа гражданского кладбища д. </w:t>
      </w:r>
      <w:proofErr w:type="spellStart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Кипино</w:t>
      </w:r>
      <w:proofErr w:type="spellEnd"/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в Администрацию округа поступило 274 обращения граждан, из </w:t>
      </w: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243 письменных. Через системы «Платформа обратной связи» поступило 29 обращений, «Инцидент-менеджмент» – 549 обращений. В рамках личного приема граждан принято 14 человек. На все вопросы были даны подробные разъяснения. Нарушений сроков ответов не допущено. Большинство вопросов относились к темам жилищно-коммунального хозяйства. 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13 прямых линий с Главой, в том числе 1 с участием куратора Демянского округа И.С. Маленко.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 жителей о работе администрации округа и обеспечения оперативного взаимодействия активно используется официальный сайт администрации округа в сети интернет. Кроме того, вся информация о деятельности администрации размещается в социальных сетях.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отмечу, что деятельность администрации округа направлена на реализацию взятых обязательств, участие в реализации федеральных, региональных и муниципальных программ, достижении установленных показателей национальных проектов и улучшение качества </w:t>
      </w: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 жителей округа. В этом нам помогают депутаты Думы округа, общественные организации, руководители организаций и учреждений, жители округа.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Благодарю за совместную работу!</w:t>
      </w:r>
    </w:p>
    <w:p w:rsidR="00C95431" w:rsidRPr="005A7780" w:rsidRDefault="00C95431" w:rsidP="005A7780">
      <w:pPr>
        <w:widowControl w:val="0"/>
        <w:pBdr>
          <w:bottom w:val="single" w:sz="6" w:space="31" w:color="FFFFFF"/>
        </w:pBdr>
        <w:tabs>
          <w:tab w:val="left" w:pos="70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слова благодарности Правительству Новгородской области, Благотворительному Фонду поддержки и развития Демянского района за помощь в реализации задач, стоящих перед округом.</w:t>
      </w:r>
    </w:p>
    <w:p w:rsidR="008856C9" w:rsidRDefault="008856C9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8856C9" w:rsidSect="00A7261C">
      <w:headerReference w:type="default" r:id="rId11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26" w:rsidRDefault="00D67A26" w:rsidP="00930942">
      <w:pPr>
        <w:spacing w:after="0" w:line="240" w:lineRule="auto"/>
      </w:pPr>
      <w:r>
        <w:separator/>
      </w:r>
    </w:p>
  </w:endnote>
  <w:endnote w:type="continuationSeparator" w:id="0">
    <w:p w:rsidR="00D67A26" w:rsidRDefault="00D67A26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26" w:rsidRDefault="00D67A26" w:rsidP="00930942">
      <w:pPr>
        <w:spacing w:after="0" w:line="240" w:lineRule="auto"/>
      </w:pPr>
      <w:r>
        <w:separator/>
      </w:r>
    </w:p>
  </w:footnote>
  <w:footnote w:type="continuationSeparator" w:id="0">
    <w:p w:rsidR="00D67A26" w:rsidRDefault="00D67A26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386"/>
      <w:docPartObj>
        <w:docPartGallery w:val="Page Numbers (Top of Page)"/>
        <w:docPartUnique/>
      </w:docPartObj>
    </w:sdtPr>
    <w:sdtEndPr/>
    <w:sdtContent>
      <w:p w:rsidR="003544C8" w:rsidRDefault="003544C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1E6">
          <w:rPr>
            <w:noProof/>
          </w:rPr>
          <w:t>2</w:t>
        </w:r>
        <w:r>
          <w:fldChar w:fldCharType="end"/>
        </w:r>
      </w:p>
    </w:sdtContent>
  </w:sdt>
  <w:p w:rsidR="00EE133A" w:rsidRDefault="00EE133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BBD">
          <w:rPr>
            <w:noProof/>
          </w:rPr>
          <w:t>13</w:t>
        </w:r>
        <w:r>
          <w:fldChar w:fldCharType="end"/>
        </w:r>
      </w:p>
    </w:sdtContent>
  </w:sdt>
  <w:p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4710"/>
    <w:rsid w:val="000A3256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3295"/>
    <w:rsid w:val="001857B5"/>
    <w:rsid w:val="00186858"/>
    <w:rsid w:val="00190391"/>
    <w:rsid w:val="00192B99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7A56"/>
    <w:rsid w:val="003438D5"/>
    <w:rsid w:val="003441BB"/>
    <w:rsid w:val="003533EC"/>
    <w:rsid w:val="003544C8"/>
    <w:rsid w:val="0036087D"/>
    <w:rsid w:val="00361F99"/>
    <w:rsid w:val="0036311C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51E6"/>
    <w:rsid w:val="004B697E"/>
    <w:rsid w:val="004C03E5"/>
    <w:rsid w:val="004C4FFC"/>
    <w:rsid w:val="004C6D6A"/>
    <w:rsid w:val="004D1DB1"/>
    <w:rsid w:val="004D3333"/>
    <w:rsid w:val="004D3E17"/>
    <w:rsid w:val="004E545C"/>
    <w:rsid w:val="005107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1AB"/>
    <w:rsid w:val="0058271B"/>
    <w:rsid w:val="00582F71"/>
    <w:rsid w:val="00592218"/>
    <w:rsid w:val="0059307E"/>
    <w:rsid w:val="005973D9"/>
    <w:rsid w:val="005A2052"/>
    <w:rsid w:val="005A49AC"/>
    <w:rsid w:val="005A7780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C7FD4"/>
    <w:rsid w:val="007D3D56"/>
    <w:rsid w:val="007F4B31"/>
    <w:rsid w:val="0080363B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519B7"/>
    <w:rsid w:val="008567F2"/>
    <w:rsid w:val="00867873"/>
    <w:rsid w:val="00876C24"/>
    <w:rsid w:val="00882753"/>
    <w:rsid w:val="008856C9"/>
    <w:rsid w:val="008A431F"/>
    <w:rsid w:val="008A489E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5431"/>
    <w:rsid w:val="00C96CA2"/>
    <w:rsid w:val="00CA02F9"/>
    <w:rsid w:val="00CB2010"/>
    <w:rsid w:val="00CB2672"/>
    <w:rsid w:val="00CC0D93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67A26"/>
    <w:rsid w:val="00D91287"/>
    <w:rsid w:val="00D94D55"/>
    <w:rsid w:val="00DB2BBD"/>
    <w:rsid w:val="00DB44BE"/>
    <w:rsid w:val="00DC0410"/>
    <w:rsid w:val="00DD303D"/>
    <w:rsid w:val="00DD3B7C"/>
    <w:rsid w:val="00DE3357"/>
    <w:rsid w:val="00DE3CAB"/>
    <w:rsid w:val="00DE4C70"/>
    <w:rsid w:val="00DE6F68"/>
    <w:rsid w:val="00DF1EFF"/>
    <w:rsid w:val="00DF2D11"/>
    <w:rsid w:val="00DF4DFC"/>
    <w:rsid w:val="00E0339F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0D3"/>
    <w:rsid w:val="00E56D53"/>
    <w:rsid w:val="00E63EC3"/>
    <w:rsid w:val="00E64300"/>
    <w:rsid w:val="00E70CDB"/>
    <w:rsid w:val="00E773BD"/>
    <w:rsid w:val="00E84C76"/>
    <w:rsid w:val="00EA20B6"/>
    <w:rsid w:val="00EA5F61"/>
    <w:rsid w:val="00EB62C6"/>
    <w:rsid w:val="00EC1488"/>
    <w:rsid w:val="00EC27AA"/>
    <w:rsid w:val="00EC798A"/>
    <w:rsid w:val="00ED399D"/>
    <w:rsid w:val="00EE133A"/>
    <w:rsid w:val="00EE69AF"/>
    <w:rsid w:val="00EF248D"/>
    <w:rsid w:val="00EF4FB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128C-2A93-41DE-964C-A6C39B43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14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309</cp:revision>
  <cp:lastPrinted>2025-02-28T11:35:00Z</cp:lastPrinted>
  <dcterms:created xsi:type="dcterms:W3CDTF">2018-07-27T07:24:00Z</dcterms:created>
  <dcterms:modified xsi:type="dcterms:W3CDTF">2025-03-03T06:10:00Z</dcterms:modified>
</cp:coreProperties>
</file>