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640DEF10" wp14:editId="05992D54">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706060"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27.02.2025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231</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rsidTr="00BA314D">
        <w:trPr>
          <w:cantSplit/>
          <w:trHeight w:val="82"/>
        </w:trPr>
        <w:tc>
          <w:tcPr>
            <w:tcW w:w="9464" w:type="dxa"/>
          </w:tcPr>
          <w:p w:rsidR="00163A87" w:rsidRDefault="00163A87" w:rsidP="00163A87">
            <w:pPr>
              <w:pStyle w:val="af3"/>
              <w:spacing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Об </w:t>
            </w:r>
            <w:proofErr w:type="gramStart"/>
            <w:r>
              <w:rPr>
                <w:rFonts w:ascii="Times New Roman" w:hAnsi="Times New Roman" w:cs="Times New Roman"/>
                <w:b/>
                <w:sz w:val="28"/>
                <w:szCs w:val="28"/>
              </w:rPr>
              <w:t>отчете</w:t>
            </w:r>
            <w:proofErr w:type="gramEnd"/>
            <w:r>
              <w:rPr>
                <w:rFonts w:ascii="Times New Roman" w:hAnsi="Times New Roman" w:cs="Times New Roman"/>
                <w:b/>
                <w:sz w:val="28"/>
                <w:szCs w:val="28"/>
              </w:rPr>
              <w:t xml:space="preserve"> о работе Контрольно-счетной палаты</w:t>
            </w:r>
          </w:p>
          <w:p w:rsidR="00A16C6D" w:rsidRPr="004C03E5" w:rsidRDefault="00163A87" w:rsidP="00163A87">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Демянского муниципального округа в 2024 году</w:t>
            </w:r>
          </w:p>
        </w:tc>
      </w:tr>
    </w:tbl>
    <w:p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rsidR="00163A87" w:rsidRDefault="00163A87" w:rsidP="009C041D">
      <w:pPr>
        <w:spacing w:after="0" w:line="240" w:lineRule="auto"/>
        <w:jc w:val="both"/>
        <w:rPr>
          <w:rFonts w:ascii="Times New Roman" w:eastAsia="Calibri" w:hAnsi="Times New Roman" w:cs="Times New Roman"/>
          <w:spacing w:val="-2"/>
          <w:sz w:val="28"/>
          <w:szCs w:val="28"/>
          <w:lang w:eastAsia="ru-RU"/>
        </w:rPr>
      </w:pPr>
    </w:p>
    <w:p w:rsidR="00163A87" w:rsidRDefault="00163A87" w:rsidP="00163A87">
      <w:pPr>
        <w:pStyle w:val="af3"/>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Заслушав отчет председателя Контрольно-счетной палаты Демянского муниципального округа Мурашовой Н.И. о работе Контрольно-счетной палаты Демянского муниципального округа в 2024 году, Дума Демянского муниципального округа</w:t>
      </w:r>
    </w:p>
    <w:p w:rsidR="00163A87" w:rsidRPr="00163A87" w:rsidRDefault="00163A87" w:rsidP="00163A87">
      <w:pPr>
        <w:pStyle w:val="af3"/>
        <w:spacing w:line="360" w:lineRule="exact"/>
        <w:jc w:val="both"/>
        <w:rPr>
          <w:rFonts w:ascii="Times New Roman" w:hAnsi="Times New Roman" w:cs="Times New Roman"/>
          <w:b/>
          <w:sz w:val="28"/>
          <w:szCs w:val="28"/>
        </w:rPr>
      </w:pPr>
      <w:r w:rsidRPr="00163A87">
        <w:rPr>
          <w:rFonts w:ascii="Times New Roman" w:hAnsi="Times New Roman" w:cs="Times New Roman"/>
          <w:b/>
          <w:sz w:val="28"/>
          <w:szCs w:val="28"/>
        </w:rPr>
        <w:t>РЕШИЛА:</w:t>
      </w:r>
    </w:p>
    <w:p w:rsidR="00163A87" w:rsidRDefault="00163A87" w:rsidP="00163A87">
      <w:pPr>
        <w:pStyle w:val="af3"/>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Отчет о работе Контрольно-счетной палаты Демянского муниципального округа в 2024 году принять к сведению.</w:t>
      </w:r>
    </w:p>
    <w:p w:rsidR="00163A87" w:rsidRDefault="00163A87" w:rsidP="00163A87">
      <w:pPr>
        <w:pStyle w:val="af3"/>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rsidR="00C935DB" w:rsidRDefault="00C935DB" w:rsidP="00C935DB">
      <w:pPr>
        <w:spacing w:after="0" w:line="240" w:lineRule="auto"/>
        <w:jc w:val="both"/>
        <w:rPr>
          <w:rFonts w:ascii="Times New Roman" w:eastAsia="Times New Roman" w:hAnsi="Times New Roman" w:cs="Times New Roman"/>
          <w:sz w:val="28"/>
          <w:szCs w:val="28"/>
          <w:lang w:eastAsia="ru-RU"/>
        </w:rPr>
      </w:pPr>
    </w:p>
    <w:p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rsidTr="00842EF5">
        <w:tc>
          <w:tcPr>
            <w:tcW w:w="4644" w:type="dxa"/>
          </w:tcPr>
          <w:p w:rsidR="00B82138" w:rsidRPr="00130D37" w:rsidRDefault="00B82138" w:rsidP="0051408A">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 А.Н. Сапогов</w:t>
            </w:r>
          </w:p>
        </w:tc>
        <w:tc>
          <w:tcPr>
            <w:tcW w:w="4926" w:type="dxa"/>
            <w:hideMark/>
          </w:tcPr>
          <w:p w:rsidR="00B82138" w:rsidRPr="00130D37" w:rsidRDefault="00FC07AB" w:rsidP="0051408A">
            <w:pPr>
              <w:spacing w:line="240" w:lineRule="exact"/>
              <w:rPr>
                <w:rFonts w:ascii="Times New Roman" w:eastAsia="Times New Roman" w:hAnsi="Times New Roman" w:cs="Times New Roman"/>
                <w:b/>
                <w:sz w:val="28"/>
                <w:szCs w:val="28"/>
                <w:lang w:eastAsia="ru-RU"/>
              </w:rPr>
            </w:pPr>
            <w:r w:rsidRPr="00FC07AB">
              <w:rPr>
                <w:rFonts w:ascii="Times New Roman" w:eastAsia="Calibri" w:hAnsi="Times New Roman" w:cs="Times New Roman"/>
                <w:b/>
                <w:sz w:val="28"/>
                <w:szCs w:val="28"/>
              </w:rPr>
              <w:t xml:space="preserve">Заместитель председателя Думы </w:t>
            </w:r>
            <w:bookmarkStart w:id="0" w:name="_GoBack"/>
            <w:bookmarkEnd w:id="0"/>
            <w:r w:rsidRPr="00FC07AB">
              <w:rPr>
                <w:rFonts w:ascii="Times New Roman" w:eastAsia="Calibri" w:hAnsi="Times New Roman" w:cs="Times New Roman"/>
                <w:b/>
                <w:sz w:val="28"/>
                <w:szCs w:val="28"/>
              </w:rPr>
              <w:t xml:space="preserve">                                           Е.И. Егоров</w:t>
            </w:r>
          </w:p>
        </w:tc>
      </w:tr>
    </w:tbl>
    <w:p w:rsidR="00B82138" w:rsidRDefault="00B82138" w:rsidP="00C935DB">
      <w:pPr>
        <w:spacing w:after="0" w:line="240" w:lineRule="auto"/>
        <w:jc w:val="both"/>
        <w:rPr>
          <w:rFonts w:ascii="Times New Roman" w:eastAsia="Times New Roman" w:hAnsi="Times New Roman" w:cs="Times New Roman"/>
          <w:sz w:val="28"/>
          <w:szCs w:val="28"/>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DE4C70" w:rsidP="00BD7758">
      <w:pPr>
        <w:spacing w:after="0" w:line="240" w:lineRule="exact"/>
        <w:rPr>
          <w:rFonts w:ascii="Times New Roman" w:eastAsia="Times New Roman" w:hAnsi="Times New Roman" w:cs="Times New Roman"/>
          <w:sz w:val="28"/>
          <w:szCs w:val="20"/>
          <w:lang w:eastAsia="ru-RU"/>
        </w:rPr>
      </w:pPr>
    </w:p>
    <w:p w:rsidR="00DE4C70" w:rsidRDefault="00163A87"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0"/>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rsidTr="009C041D">
        <w:tc>
          <w:tcPr>
            <w:tcW w:w="5778" w:type="dxa"/>
          </w:tcPr>
          <w:p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E267C">
              <w:rPr>
                <w:rFonts w:ascii="Times New Roman" w:eastAsia="Times New Roman" w:hAnsi="Times New Roman" w:cs="Times New Roman"/>
                <w:sz w:val="28"/>
                <w:szCs w:val="28"/>
                <w:lang w:eastAsia="ru-RU"/>
              </w:rPr>
              <w:t>27.02.2025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E267C">
              <w:rPr>
                <w:rFonts w:ascii="Times New Roman" w:eastAsia="Times New Roman" w:hAnsi="Times New Roman" w:cs="Times New Roman"/>
                <w:sz w:val="28"/>
                <w:szCs w:val="28"/>
                <w:lang w:eastAsia="ru-RU"/>
              </w:rPr>
              <w:t>231</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rsidR="00DE4C70" w:rsidRDefault="00DE4C70" w:rsidP="00DE4C70">
      <w:pPr>
        <w:widowControl w:val="0"/>
        <w:spacing w:after="0" w:line="360" w:lineRule="atLeast"/>
        <w:jc w:val="both"/>
        <w:rPr>
          <w:rFonts w:ascii="Times New Roman" w:eastAsia="Times New Roman" w:hAnsi="Times New Roman" w:cs="Times New Roman"/>
          <w:sz w:val="28"/>
          <w:szCs w:val="28"/>
        </w:rPr>
      </w:pPr>
    </w:p>
    <w:p w:rsidR="00163A87" w:rsidRPr="00163A87" w:rsidRDefault="00163A87" w:rsidP="00163A87">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Отчет о работе</w:t>
      </w:r>
      <w:r w:rsidRPr="00163A87">
        <w:rPr>
          <w:rFonts w:ascii="Times New Roman" w:eastAsia="Times New Roman" w:hAnsi="Times New Roman" w:cs="Times New Roman"/>
          <w:b/>
          <w:bCs/>
          <w:color w:val="92D050"/>
          <w:sz w:val="28"/>
          <w:szCs w:val="28"/>
        </w:rPr>
        <w:t xml:space="preserve"> </w:t>
      </w:r>
      <w:r w:rsidRPr="00163A87">
        <w:rPr>
          <w:rFonts w:ascii="Times New Roman" w:eastAsia="Times New Roman" w:hAnsi="Times New Roman" w:cs="Times New Roman"/>
          <w:b/>
          <w:bCs/>
          <w:sz w:val="28"/>
          <w:szCs w:val="28"/>
        </w:rPr>
        <w:t>Контрольно-счетной палаты Демянского</w:t>
      </w:r>
    </w:p>
    <w:p w:rsidR="00163A87" w:rsidRPr="00163A87" w:rsidRDefault="00163A87" w:rsidP="00163A87">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 xml:space="preserve">муниципального округа за 2024 год  </w:t>
      </w:r>
    </w:p>
    <w:p w:rsidR="00163A87" w:rsidRPr="00163A87" w:rsidRDefault="00163A87" w:rsidP="00163A87">
      <w:pPr>
        <w:spacing w:after="0" w:line="240" w:lineRule="auto"/>
        <w:jc w:val="center"/>
        <w:rPr>
          <w:rFonts w:ascii="Times New Roman" w:eastAsia="Times New Roman" w:hAnsi="Times New Roman" w:cs="Times New Roman"/>
          <w:b/>
          <w:bCs/>
          <w:color w:val="FF0000"/>
          <w:sz w:val="28"/>
          <w:szCs w:val="28"/>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proofErr w:type="gramStart"/>
      <w:r w:rsidRPr="00163A87">
        <w:rPr>
          <w:rFonts w:ascii="Times New Roman" w:eastAsia="Times New Roman" w:hAnsi="Times New Roman" w:cs="Times New Roman"/>
          <w:sz w:val="28"/>
          <w:szCs w:val="28"/>
        </w:rPr>
        <w:t>Отчет о работе Контрольно-счетной палаты Демянского муниципального округа за 2024 год (далее-Контрольно-счетная палата) подготовлен в соответствии со ст</w:t>
      </w:r>
      <w:r w:rsidR="00C64E88">
        <w:rPr>
          <w:rFonts w:ascii="Times New Roman" w:eastAsia="Times New Roman" w:hAnsi="Times New Roman" w:cs="Times New Roman"/>
          <w:sz w:val="28"/>
          <w:szCs w:val="28"/>
        </w:rPr>
        <w:t>атьей</w:t>
      </w:r>
      <w:r w:rsidRPr="00163A87">
        <w:rPr>
          <w:rFonts w:ascii="Times New Roman" w:eastAsia="Times New Roman" w:hAnsi="Times New Roman" w:cs="Times New Roman"/>
          <w:sz w:val="28"/>
          <w:szCs w:val="28"/>
        </w:rPr>
        <w:t xml:space="preserve">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(далее-Федеральный закон №</w:t>
      </w:r>
      <w:r w:rsidR="00C64E88">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 xml:space="preserve">6-ФЗ) и </w:t>
      </w:r>
      <w:r w:rsidRPr="00163A87">
        <w:rPr>
          <w:rFonts w:ascii="Calibri" w:eastAsia="Times New Roman" w:hAnsi="Calibri" w:cs="Calibri"/>
        </w:rPr>
        <w:t xml:space="preserve"> </w:t>
      </w:r>
      <w:r w:rsidRPr="00163A87">
        <w:rPr>
          <w:rFonts w:ascii="Times New Roman" w:eastAsia="Times New Roman" w:hAnsi="Times New Roman" w:cs="Times New Roman"/>
          <w:sz w:val="28"/>
          <w:szCs w:val="28"/>
        </w:rPr>
        <w:t>содержит обобщенную информацию об основных направлениях и итогах деятельности Контрольно-счетной палаты  в отчетном 2024 году, в</w:t>
      </w:r>
      <w:proofErr w:type="gramEnd"/>
      <w:r w:rsidRPr="00163A87">
        <w:rPr>
          <w:rFonts w:ascii="Times New Roman" w:eastAsia="Times New Roman" w:hAnsi="Times New Roman" w:cs="Times New Roman"/>
          <w:sz w:val="28"/>
          <w:szCs w:val="28"/>
        </w:rPr>
        <w:t xml:space="preserve"> том числе о результатах проведенных контрольных и экспертно-аналитических </w:t>
      </w:r>
      <w:proofErr w:type="spellStart"/>
      <w:proofErr w:type="gramStart"/>
      <w:r w:rsidRPr="00163A87">
        <w:rPr>
          <w:rFonts w:ascii="Times New Roman" w:eastAsia="Times New Roman" w:hAnsi="Times New Roman" w:cs="Times New Roman"/>
          <w:sz w:val="28"/>
          <w:szCs w:val="28"/>
        </w:rPr>
        <w:t>меро</w:t>
      </w:r>
      <w:proofErr w:type="spellEnd"/>
      <w:r w:rsidR="00C64E88">
        <w:rPr>
          <w:rFonts w:ascii="Times New Roman" w:eastAsia="Times New Roman" w:hAnsi="Times New Roman" w:cs="Times New Roman"/>
          <w:sz w:val="28"/>
          <w:szCs w:val="28"/>
        </w:rPr>
        <w:t>-</w:t>
      </w:r>
      <w:r w:rsidRPr="00163A87">
        <w:rPr>
          <w:rFonts w:ascii="Times New Roman" w:eastAsia="Times New Roman" w:hAnsi="Times New Roman" w:cs="Times New Roman"/>
          <w:sz w:val="28"/>
          <w:szCs w:val="28"/>
        </w:rPr>
        <w:t>приятий</w:t>
      </w:r>
      <w:proofErr w:type="gramEnd"/>
      <w:r w:rsidRPr="00163A87">
        <w:rPr>
          <w:rFonts w:ascii="Times New Roman" w:eastAsia="Times New Roman" w:hAnsi="Times New Roman" w:cs="Times New Roman"/>
          <w:sz w:val="28"/>
          <w:szCs w:val="28"/>
        </w:rPr>
        <w:t xml:space="preserve"> в рамках осуществления внешнего муниципального финансового контроля.</w:t>
      </w:r>
    </w:p>
    <w:p w:rsidR="00163A87" w:rsidRPr="00163A87" w:rsidRDefault="00163A87" w:rsidP="00163A87">
      <w:pPr>
        <w:spacing w:after="0" w:line="240" w:lineRule="auto"/>
        <w:jc w:val="both"/>
        <w:rPr>
          <w:rFonts w:ascii="Times New Roman" w:eastAsia="Times New Roman" w:hAnsi="Times New Roman" w:cs="Times New Roman"/>
          <w:color w:val="FF0000"/>
          <w:sz w:val="28"/>
          <w:szCs w:val="28"/>
        </w:rPr>
      </w:pPr>
    </w:p>
    <w:p w:rsidR="00163A87" w:rsidRPr="00163A87" w:rsidRDefault="00163A87" w:rsidP="00163A87">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1.</w:t>
      </w:r>
      <w:r w:rsidR="00FD1860">
        <w:rPr>
          <w:rFonts w:ascii="Times New Roman" w:eastAsia="Times New Roman" w:hAnsi="Times New Roman" w:cs="Times New Roman"/>
          <w:b/>
          <w:bCs/>
          <w:sz w:val="28"/>
          <w:szCs w:val="28"/>
        </w:rPr>
        <w:t xml:space="preserve"> </w:t>
      </w:r>
      <w:r w:rsidRPr="00163A87">
        <w:rPr>
          <w:rFonts w:ascii="Times New Roman" w:eastAsia="Times New Roman" w:hAnsi="Times New Roman" w:cs="Times New Roman"/>
          <w:b/>
          <w:bCs/>
          <w:sz w:val="28"/>
          <w:szCs w:val="28"/>
        </w:rPr>
        <w:t>Основные направления и итоги деятельности</w:t>
      </w:r>
    </w:p>
    <w:p w:rsidR="00163A87" w:rsidRPr="00163A87" w:rsidRDefault="00163A87" w:rsidP="00163A87">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 xml:space="preserve"> Контрольно-счетной палаты</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соответствии с решением Думы Демянского муниципального округа от 28.11.2023 №</w:t>
      </w:r>
      <w:r>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 xml:space="preserve">66 была создана Контрольно-счетная палата Демянского муниципального </w:t>
      </w:r>
      <w:r w:rsidRPr="00163A87">
        <w:rPr>
          <w:rFonts w:ascii="Times New Roman" w:eastAsia="Times New Roman" w:hAnsi="Times New Roman" w:cs="Times New Roman"/>
          <w:bCs/>
          <w:sz w:val="28"/>
          <w:szCs w:val="28"/>
        </w:rPr>
        <w:t>округа</w:t>
      </w:r>
      <w:r w:rsidRPr="00163A87">
        <w:rPr>
          <w:rFonts w:ascii="Times New Roman" w:eastAsia="Times New Roman" w:hAnsi="Times New Roman" w:cs="Times New Roman"/>
          <w:sz w:val="28"/>
          <w:szCs w:val="28"/>
        </w:rPr>
        <w:t xml:space="preserve"> и утверждено Положение о Контрольно-счетной палате Демянского муниципального округа (далее-Положение о Контрольно-счетной палате).</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В 2024 году приказом председателя Контрольно-счетной палаты утвержден Регламент Контрольно-счетной палаты Демянского </w:t>
      </w:r>
      <w:proofErr w:type="spellStart"/>
      <w:proofErr w:type="gramStart"/>
      <w:r w:rsidRPr="00163A87">
        <w:rPr>
          <w:rFonts w:ascii="Times New Roman" w:eastAsia="Times New Roman" w:hAnsi="Times New Roman" w:cs="Times New Roman"/>
          <w:sz w:val="28"/>
          <w:szCs w:val="28"/>
        </w:rPr>
        <w:t>муниципа</w:t>
      </w:r>
      <w:r w:rsidR="00D321B9">
        <w:rPr>
          <w:rFonts w:ascii="Times New Roman" w:eastAsia="Times New Roman" w:hAnsi="Times New Roman" w:cs="Times New Roman"/>
          <w:sz w:val="28"/>
          <w:szCs w:val="28"/>
        </w:rPr>
        <w:t>-</w:t>
      </w:r>
      <w:r w:rsidRPr="00163A87">
        <w:rPr>
          <w:rFonts w:ascii="Times New Roman" w:eastAsia="Times New Roman" w:hAnsi="Times New Roman" w:cs="Times New Roman"/>
          <w:sz w:val="28"/>
          <w:szCs w:val="28"/>
        </w:rPr>
        <w:t>льного</w:t>
      </w:r>
      <w:proofErr w:type="spellEnd"/>
      <w:proofErr w:type="gramEnd"/>
      <w:r w:rsidRPr="00163A87">
        <w:rPr>
          <w:rFonts w:ascii="Times New Roman" w:eastAsia="Times New Roman" w:hAnsi="Times New Roman" w:cs="Times New Roman"/>
          <w:sz w:val="28"/>
          <w:szCs w:val="28"/>
        </w:rPr>
        <w:t xml:space="preserve"> округа, определяющий внутренние вопросы деятельности Контрольно-счетной палаты, порядок ведения документации, порядок подготовки и проведения контрольных и экспертно-аналитических мероприятий.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Деятельность Контрольно-счетной палаты осуществлялась в соответствии с полномочиями, определенными Бюджетным кодексом РФ, Федеральным законом № 6-ФЗ, Положением о Контрольно-счетной палате,  Уставом Демянского муниципального округа, утвержденным решением Думы Демянского муниципального округа от 28.11.2023 №64 (с внесенными изменениями).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отчетном периоде Контрольно-счетная палата осуществляла свою деятельность на основании годового плана работы, утвержденного приказом председателя Контрольно-счетной палаты (</w:t>
      </w:r>
      <w:proofErr w:type="gramStart"/>
      <w:r w:rsidRPr="00163A87">
        <w:rPr>
          <w:rFonts w:ascii="Times New Roman" w:eastAsia="Times New Roman" w:hAnsi="Times New Roman" w:cs="Times New Roman"/>
          <w:sz w:val="28"/>
          <w:szCs w:val="28"/>
        </w:rPr>
        <w:t>размещен</w:t>
      </w:r>
      <w:proofErr w:type="gramEnd"/>
      <w:r w:rsidRPr="00163A87">
        <w:rPr>
          <w:rFonts w:ascii="Times New Roman" w:eastAsia="Times New Roman" w:hAnsi="Times New Roman" w:cs="Times New Roman"/>
          <w:sz w:val="28"/>
          <w:szCs w:val="28"/>
        </w:rPr>
        <w:t xml:space="preserve"> на официальном сайте </w:t>
      </w:r>
      <w:r w:rsidRPr="00163A87">
        <w:rPr>
          <w:rFonts w:ascii="Times New Roman" w:eastAsia="Times New Roman" w:hAnsi="Times New Roman" w:cs="Times New Roman"/>
          <w:sz w:val="28"/>
          <w:szCs w:val="28"/>
        </w:rPr>
        <w:lastRenderedPageBreak/>
        <w:t>Администрации Демянского муниципального округа в разделе «Контрольно-счетная палата»). Планирование деятельности осуществлялось с учетом предложений Счетной палаты Новгородской области и Администрации Демянского муниципального района.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отчетном году приказами председателя Контрольно-счетной палаты были внесены следующие изменения в годовой план работы Контрольно-счетной палаты на 2024 год:</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1) добавлен пункт 1.8 раздела 1 о проведении экспертно-аналитического мероприятия: </w:t>
      </w:r>
      <w:proofErr w:type="gramStart"/>
      <w:r w:rsidRPr="00163A87">
        <w:rPr>
          <w:rFonts w:ascii="Times New Roman" w:eastAsia="Times New Roman" w:hAnsi="Times New Roman" w:cs="Times New Roman"/>
          <w:sz w:val="28"/>
          <w:szCs w:val="28"/>
        </w:rPr>
        <w:t xml:space="preserve">«Сбор, обобщение и анализ информации в отношении объектов капитального строительства муниципальной </w:t>
      </w:r>
      <w:proofErr w:type="spellStart"/>
      <w:r w:rsidRPr="00163A87">
        <w:rPr>
          <w:rFonts w:ascii="Times New Roman" w:eastAsia="Times New Roman" w:hAnsi="Times New Roman" w:cs="Times New Roman"/>
          <w:sz w:val="28"/>
          <w:szCs w:val="28"/>
        </w:rPr>
        <w:t>собствен</w:t>
      </w:r>
      <w:r w:rsidR="00E779D5">
        <w:rPr>
          <w:rFonts w:ascii="Times New Roman" w:eastAsia="Times New Roman" w:hAnsi="Times New Roman" w:cs="Times New Roman"/>
          <w:sz w:val="28"/>
          <w:szCs w:val="28"/>
        </w:rPr>
        <w:t>-</w:t>
      </w:r>
      <w:r w:rsidRPr="00163A87">
        <w:rPr>
          <w:rFonts w:ascii="Times New Roman" w:eastAsia="Times New Roman" w:hAnsi="Times New Roman" w:cs="Times New Roman"/>
          <w:sz w:val="28"/>
          <w:szCs w:val="28"/>
        </w:rPr>
        <w:t>ности</w:t>
      </w:r>
      <w:proofErr w:type="spellEnd"/>
      <w:r w:rsidRPr="00163A87">
        <w:rPr>
          <w:rFonts w:ascii="Times New Roman" w:eastAsia="Times New Roman" w:hAnsi="Times New Roman" w:cs="Times New Roman"/>
          <w:sz w:val="28"/>
          <w:szCs w:val="28"/>
        </w:rPr>
        <w:t xml:space="preserve"> Демянского муниципального округа, строительство (реконструкция, рекультивация) которых не завершено по состоянию на 01.07.2024» (по предложению Счетной палаты Новгородской области);   </w:t>
      </w:r>
      <w:proofErr w:type="gramEnd"/>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2) добавлен пункт 3.4 раздела 3 о проведении контрольного мероприятия «Проверка полноты и своевременности поступления платы за наем жилых помещений, предоставляемых по договорам социального найма жилищного фонда Демянского муниципального округа за 2023 год и девять месяцев 2024 года»;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3) добавлен пункт 1.9 раздела 1 о проведении экспертно-аналитического мероприятия «Проверка обоснованности и целевого расходования денежных средств, выделенных в качестве субсидии из бюджета Демянского муниципального округа в отношен</w:t>
      </w:r>
      <w:proofErr w:type="gramStart"/>
      <w:r w:rsidRPr="00163A87">
        <w:rPr>
          <w:rFonts w:ascii="Times New Roman" w:eastAsia="Times New Roman" w:hAnsi="Times New Roman" w:cs="Times New Roman"/>
          <w:sz w:val="28"/>
          <w:szCs w:val="28"/>
          <w:lang w:eastAsia="ru-RU"/>
        </w:rPr>
        <w:t>ии ООО</w:t>
      </w:r>
      <w:proofErr w:type="gramEnd"/>
      <w:r w:rsidRPr="00163A87">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Жилищник</w:t>
      </w:r>
      <w:proofErr w:type="spellEnd"/>
      <w:r w:rsidRPr="00163A87">
        <w:rPr>
          <w:rFonts w:ascii="Times New Roman" w:eastAsia="Times New Roman" w:hAnsi="Times New Roman" w:cs="Times New Roman"/>
          <w:sz w:val="28"/>
          <w:szCs w:val="28"/>
          <w:lang w:eastAsia="ru-RU"/>
        </w:rPr>
        <w:t>»» (по предложению  СУ СК России по Новгородской области Новгородского межрайонного следственного отдела).</w:t>
      </w:r>
    </w:p>
    <w:p w:rsidR="00163A87" w:rsidRPr="00163A87" w:rsidRDefault="00163A87" w:rsidP="00163A87">
      <w:pPr>
        <w:spacing w:after="0" w:line="360" w:lineRule="atLeast"/>
        <w:ind w:firstLine="709"/>
        <w:jc w:val="both"/>
        <w:rPr>
          <w:rFonts w:ascii="Times New Roman" w:eastAsia="Times New Roman" w:hAnsi="Times New Roman" w:cs="Times New Roman"/>
          <w:b/>
          <w:bCs/>
          <w:sz w:val="28"/>
          <w:szCs w:val="28"/>
          <w:lang w:eastAsia="ru-RU"/>
        </w:rPr>
      </w:pPr>
      <w:r w:rsidRPr="00163A87">
        <w:rPr>
          <w:rFonts w:ascii="Times New Roman" w:eastAsia="Times New Roman" w:hAnsi="Times New Roman" w:cs="Times New Roman"/>
          <w:sz w:val="28"/>
          <w:szCs w:val="28"/>
          <w:lang w:eastAsia="ru-RU"/>
        </w:rPr>
        <w:t>В соответствии с Федеральным законом №6-ФЗ Контрольно-счетная палата муниципального образования является постоянно действующим органом внешнего муниципального финансового контроля, обладает организационной и функциональной независимостью.</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отчетном периоде внешний муниципальный финансовый контроль осуществлялся в форме контрольных и экспертно-аналитических мероприятий в отношении органов местного самоуправления и муниципальных учреждений, использующих имущество, находящееся в муниципальной собственности муниципального образования - Демянский муниципальный округ</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Одним из направлений деятельности Контрольно-счетной палаты являлась внешняя проверка годового отчета об исполнении бюджета района, годовых отчетов об исполнении бюджетов поселений. Внешняя проверка является особым видом экспертно-аналитического мероприятия, в ходе которого анализируется информация о качественных и количественных характеристиках исполнения бюджетов за прошедший финансовый год, что </w:t>
      </w:r>
      <w:r w:rsidRPr="00163A87">
        <w:rPr>
          <w:rFonts w:ascii="Times New Roman" w:eastAsia="Times New Roman" w:hAnsi="Times New Roman" w:cs="Times New Roman"/>
          <w:sz w:val="28"/>
          <w:szCs w:val="28"/>
        </w:rPr>
        <w:lastRenderedPageBreak/>
        <w:t>позволяет подтвердить достоверность представленных в представительные органы годовых отчетов об исполнении указанных бюджетов.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proofErr w:type="gramStart"/>
      <w:r w:rsidRPr="00163A87">
        <w:rPr>
          <w:rFonts w:ascii="Times New Roman" w:eastAsia="Times New Roman" w:hAnsi="Times New Roman" w:cs="Times New Roman"/>
          <w:sz w:val="28"/>
          <w:szCs w:val="28"/>
        </w:rPr>
        <w:t>Во исполнение статьи 264.4 Бюджетного кодекса Р</w:t>
      </w:r>
      <w:r w:rsidR="00E779D5">
        <w:rPr>
          <w:rFonts w:ascii="Times New Roman" w:eastAsia="Times New Roman" w:hAnsi="Times New Roman" w:cs="Times New Roman"/>
          <w:sz w:val="28"/>
          <w:szCs w:val="28"/>
        </w:rPr>
        <w:t xml:space="preserve">оссийской </w:t>
      </w:r>
      <w:r w:rsidRPr="00163A87">
        <w:rPr>
          <w:rFonts w:ascii="Times New Roman" w:eastAsia="Times New Roman" w:hAnsi="Times New Roman" w:cs="Times New Roman"/>
          <w:sz w:val="28"/>
          <w:szCs w:val="28"/>
        </w:rPr>
        <w:t>Ф</w:t>
      </w:r>
      <w:r w:rsidR="00E779D5">
        <w:rPr>
          <w:rFonts w:ascii="Times New Roman" w:eastAsia="Times New Roman" w:hAnsi="Times New Roman" w:cs="Times New Roman"/>
          <w:sz w:val="28"/>
          <w:szCs w:val="28"/>
        </w:rPr>
        <w:t>едерации</w:t>
      </w:r>
      <w:r w:rsidRPr="00163A87">
        <w:rPr>
          <w:rFonts w:ascii="Times New Roman" w:eastAsia="Times New Roman" w:hAnsi="Times New Roman" w:cs="Times New Roman"/>
          <w:sz w:val="28"/>
          <w:szCs w:val="28"/>
        </w:rPr>
        <w:t xml:space="preserve"> Контрольно-счетной палатой в 2024 году проведены: внешняя</w:t>
      </w:r>
      <w:r w:rsidR="00E779D5">
        <w:rPr>
          <w:rFonts w:ascii="Times New Roman" w:eastAsia="Times New Roman" w:hAnsi="Times New Roman" w:cs="Times New Roman"/>
          <w:sz w:val="28"/>
          <w:szCs w:val="28"/>
        </w:rPr>
        <w:t xml:space="preserve"> проверка бюджетной отчетности </w:t>
      </w:r>
      <w:r w:rsidRPr="00163A87">
        <w:rPr>
          <w:rFonts w:ascii="Times New Roman" w:eastAsia="Times New Roman" w:hAnsi="Times New Roman" w:cs="Times New Roman"/>
          <w:sz w:val="28"/>
          <w:szCs w:val="28"/>
        </w:rPr>
        <w:t>главных администраторов бюджетных средств; экспертиза проекта решения Думы Демянского муниципального округа «Об исполнении бюджета Демянского муниципального района за 2023 год»; экспертизы проектов решений Советов депутатов «Об исполнении бюджетов поселений за 2023 год».</w:t>
      </w:r>
      <w:proofErr w:type="gramEnd"/>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Во исполнение бюджетного законодательства Контрольно-счетной палатой в 2024 году проведена экспертиза проекта решения Думы Демянского муниципального округа «О бюджете Демянского </w:t>
      </w:r>
      <w:proofErr w:type="spellStart"/>
      <w:proofErr w:type="gramStart"/>
      <w:r w:rsidRPr="00163A87">
        <w:rPr>
          <w:rFonts w:ascii="Times New Roman" w:eastAsia="Times New Roman" w:hAnsi="Times New Roman" w:cs="Times New Roman"/>
          <w:sz w:val="28"/>
          <w:szCs w:val="28"/>
        </w:rPr>
        <w:t>муниципа</w:t>
      </w:r>
      <w:r w:rsidR="00D321B9">
        <w:rPr>
          <w:rFonts w:ascii="Times New Roman" w:eastAsia="Times New Roman" w:hAnsi="Times New Roman" w:cs="Times New Roman"/>
          <w:sz w:val="28"/>
          <w:szCs w:val="28"/>
        </w:rPr>
        <w:t>-</w:t>
      </w:r>
      <w:r w:rsidRPr="00163A87">
        <w:rPr>
          <w:rFonts w:ascii="Times New Roman" w:eastAsia="Times New Roman" w:hAnsi="Times New Roman" w:cs="Times New Roman"/>
          <w:sz w:val="28"/>
          <w:szCs w:val="28"/>
        </w:rPr>
        <w:t>льного</w:t>
      </w:r>
      <w:proofErr w:type="spellEnd"/>
      <w:proofErr w:type="gramEnd"/>
      <w:r w:rsidRPr="00163A87">
        <w:rPr>
          <w:rFonts w:ascii="Times New Roman" w:eastAsia="Times New Roman" w:hAnsi="Times New Roman" w:cs="Times New Roman"/>
          <w:sz w:val="28"/>
          <w:szCs w:val="28"/>
        </w:rPr>
        <w:t xml:space="preserve"> округа на 2025 год и на плановый период 2026 и 2027 годов».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Одним из направлений деятельности Контрольно-счетной палаты в 2024 году являлась проверка финансово-хозяйственной деятельности органов местного самоуправления и муниципальных учреждений.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Аудит в сфере закупок проводился в виде составных частей контрольных мероприятий. Обобщенная информация о результатах аудита в сфере закупок за отчетный период размещается в единой информационной системе в сфере закупок.</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Комплекс контрольных и экспертно-аналитических мероприятий, осуществлялся в рамках предварительного, текущего и последующего контроля. </w:t>
      </w:r>
    </w:p>
    <w:p w:rsidR="00163A87" w:rsidRPr="00163A87" w:rsidRDefault="00163A87" w:rsidP="00163A87">
      <w:pPr>
        <w:spacing w:after="0" w:line="360" w:lineRule="atLeast"/>
        <w:ind w:firstLine="709"/>
        <w:jc w:val="both"/>
        <w:rPr>
          <w:rFonts w:ascii="Times New Roman" w:eastAsia="Times New Roman" w:hAnsi="Times New Roman" w:cs="Times New Roman"/>
          <w:bCs/>
          <w:sz w:val="28"/>
          <w:szCs w:val="28"/>
          <w:u w:val="single"/>
          <w:lang w:eastAsia="ru-RU"/>
        </w:rPr>
      </w:pPr>
      <w:proofErr w:type="gramStart"/>
      <w:r w:rsidRPr="00163A87">
        <w:rPr>
          <w:rFonts w:ascii="Times New Roman" w:eastAsia="Times New Roman" w:hAnsi="Times New Roman" w:cs="Times New Roman"/>
          <w:sz w:val="28"/>
          <w:szCs w:val="28"/>
          <w:lang w:eastAsia="ru-RU"/>
        </w:rPr>
        <w:t xml:space="preserve">В отчетном периоде классификация нарушений, выявленных в ходе проведения контрольных и экспертно-аналитических мероприятий, осуществлялась с учетом «Классификатора нарушений, выявляемых в ходе внешнего государственного аудита (контроля)», утвержденного </w:t>
      </w:r>
      <w:proofErr w:type="spellStart"/>
      <w:r w:rsidRPr="00163A87">
        <w:rPr>
          <w:rFonts w:ascii="Times New Roman" w:eastAsia="Times New Roman" w:hAnsi="Times New Roman" w:cs="Times New Roman"/>
          <w:sz w:val="28"/>
          <w:szCs w:val="28"/>
          <w:lang w:eastAsia="ru-RU"/>
        </w:rPr>
        <w:t>постано</w:t>
      </w:r>
      <w:r w:rsidR="00E779D5">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влением</w:t>
      </w:r>
      <w:proofErr w:type="spellEnd"/>
      <w:r w:rsidRPr="00163A87">
        <w:rPr>
          <w:rFonts w:ascii="Times New Roman" w:eastAsia="Times New Roman" w:hAnsi="Times New Roman" w:cs="Times New Roman"/>
          <w:sz w:val="28"/>
          <w:szCs w:val="28"/>
          <w:lang w:eastAsia="ru-RU"/>
        </w:rPr>
        <w:t xml:space="preserve"> Коллегии Счетной палаты Российской Федерации от 21.12.2021 №14 ПК и одобренного  Советом контрольно-счетных органов при Счетной палате Российской Федерации от 22.12.2021 (протокол №11-СКСО), предусматривающего группировку нарушений, как по количественным, так и по стоимостным</w:t>
      </w:r>
      <w:proofErr w:type="gramEnd"/>
      <w:r w:rsidRPr="00163A87">
        <w:rPr>
          <w:rFonts w:ascii="Times New Roman" w:eastAsia="Times New Roman" w:hAnsi="Times New Roman" w:cs="Times New Roman"/>
          <w:sz w:val="28"/>
          <w:szCs w:val="28"/>
          <w:lang w:eastAsia="ru-RU"/>
        </w:rPr>
        <w:t xml:space="preserve"> параметрам в зависимости от вида нарушений </w:t>
      </w:r>
      <w:r w:rsidRPr="00163A87">
        <w:rPr>
          <w:rFonts w:ascii="Times New Roman" w:eastAsia="Times New Roman" w:hAnsi="Times New Roman" w:cs="Times New Roman"/>
          <w:bCs/>
          <w:sz w:val="28"/>
          <w:szCs w:val="28"/>
          <w:lang w:eastAsia="ru-RU"/>
        </w:rPr>
        <w:t>(данные по  нарушениям представлены в приложениях №</w:t>
      </w:r>
      <w:r w:rsidRPr="00D321B9">
        <w:rPr>
          <w:rFonts w:ascii="Times New Roman" w:eastAsia="Times New Roman" w:hAnsi="Times New Roman" w:cs="Times New Roman"/>
          <w:bCs/>
          <w:sz w:val="28"/>
          <w:szCs w:val="28"/>
          <w:lang w:eastAsia="ru-RU"/>
        </w:rPr>
        <w:t xml:space="preserve"> </w:t>
      </w:r>
      <w:r w:rsidRPr="00163A87">
        <w:rPr>
          <w:rFonts w:ascii="Times New Roman" w:eastAsia="Times New Roman" w:hAnsi="Times New Roman" w:cs="Times New Roman"/>
          <w:bCs/>
          <w:sz w:val="28"/>
          <w:szCs w:val="28"/>
          <w:lang w:eastAsia="ru-RU"/>
        </w:rPr>
        <w:t>1 и №</w:t>
      </w:r>
      <w:r w:rsidRPr="00D321B9">
        <w:rPr>
          <w:rFonts w:ascii="Times New Roman" w:eastAsia="Times New Roman" w:hAnsi="Times New Roman" w:cs="Times New Roman"/>
          <w:bCs/>
          <w:sz w:val="28"/>
          <w:szCs w:val="28"/>
          <w:lang w:eastAsia="ru-RU"/>
        </w:rPr>
        <w:t xml:space="preserve"> </w:t>
      </w:r>
      <w:r w:rsidRPr="00163A87">
        <w:rPr>
          <w:rFonts w:ascii="Times New Roman" w:eastAsia="Times New Roman" w:hAnsi="Times New Roman" w:cs="Times New Roman"/>
          <w:bCs/>
          <w:sz w:val="28"/>
          <w:szCs w:val="28"/>
          <w:lang w:eastAsia="ru-RU"/>
        </w:rPr>
        <w:t>2 к отчету).</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shd w:val="clear" w:color="auto" w:fill="FFFFFF"/>
        </w:rPr>
      </w:pPr>
      <w:r w:rsidRPr="00163A87">
        <w:rPr>
          <w:rFonts w:ascii="Times New Roman" w:eastAsia="Times New Roman" w:hAnsi="Times New Roman" w:cs="Times New Roman"/>
          <w:sz w:val="28"/>
          <w:szCs w:val="28"/>
          <w:shd w:val="clear" w:color="auto" w:fill="FFFFFF"/>
        </w:rPr>
        <w:t>Основные итоги работы Контрольно-счетной палаты за 2024 год характеризуются следующими показателями: всего проведено 24</w:t>
      </w:r>
      <w:r w:rsidRPr="00163A87">
        <w:rPr>
          <w:rFonts w:ascii="Times New Roman" w:eastAsia="Times New Roman" w:hAnsi="Times New Roman" w:cs="Times New Roman"/>
          <w:color w:val="FF0000"/>
          <w:sz w:val="28"/>
          <w:szCs w:val="28"/>
          <w:shd w:val="clear" w:color="auto" w:fill="FFFFFF"/>
        </w:rPr>
        <w:t xml:space="preserve"> </w:t>
      </w:r>
      <w:proofErr w:type="spellStart"/>
      <w:proofErr w:type="gramStart"/>
      <w:r w:rsidRPr="00163A87">
        <w:rPr>
          <w:rFonts w:ascii="Times New Roman" w:eastAsia="Times New Roman" w:hAnsi="Times New Roman" w:cs="Times New Roman"/>
          <w:sz w:val="28"/>
          <w:szCs w:val="28"/>
          <w:shd w:val="clear" w:color="auto" w:fill="FFFFFF"/>
        </w:rPr>
        <w:t>меро</w:t>
      </w:r>
      <w:proofErr w:type="spellEnd"/>
      <w:r w:rsidR="00D321B9">
        <w:rPr>
          <w:rFonts w:ascii="Times New Roman" w:eastAsia="Times New Roman" w:hAnsi="Times New Roman" w:cs="Times New Roman"/>
          <w:sz w:val="28"/>
          <w:szCs w:val="28"/>
          <w:shd w:val="clear" w:color="auto" w:fill="FFFFFF"/>
        </w:rPr>
        <w:t>-</w:t>
      </w:r>
      <w:r w:rsidRPr="00163A87">
        <w:rPr>
          <w:rFonts w:ascii="Times New Roman" w:eastAsia="Times New Roman" w:hAnsi="Times New Roman" w:cs="Times New Roman"/>
          <w:sz w:val="28"/>
          <w:szCs w:val="28"/>
          <w:shd w:val="clear" w:color="auto" w:fill="FFFFFF"/>
        </w:rPr>
        <w:t>приятия</w:t>
      </w:r>
      <w:proofErr w:type="gramEnd"/>
      <w:r w:rsidRPr="00163A87">
        <w:rPr>
          <w:rFonts w:ascii="Times New Roman" w:eastAsia="Times New Roman" w:hAnsi="Times New Roman" w:cs="Times New Roman"/>
          <w:sz w:val="28"/>
          <w:szCs w:val="28"/>
          <w:shd w:val="clear" w:color="auto" w:fill="FFFFFF"/>
        </w:rPr>
        <w:t xml:space="preserve">, из которых 4 контрольных мероприятия и 20 экспертно-аналитических мероприятий, в том числе 3 «тематических».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shd w:val="clear" w:color="auto" w:fill="FFFFFF"/>
        </w:rPr>
        <w:t xml:space="preserve">Кроме того, Контрольно-счетной палатой в 2024 году </w:t>
      </w:r>
      <w:r w:rsidRPr="00163A87">
        <w:rPr>
          <w:rFonts w:ascii="Times New Roman" w:eastAsia="Times New Roman" w:hAnsi="Times New Roman" w:cs="Times New Roman"/>
          <w:sz w:val="28"/>
          <w:szCs w:val="28"/>
        </w:rPr>
        <w:t>проводились э</w:t>
      </w:r>
      <w:r w:rsidRPr="00163A87">
        <w:rPr>
          <w:rFonts w:ascii="Times New Roman" w:eastAsia="Times New Roman" w:hAnsi="Times New Roman" w:cs="Times New Roman"/>
          <w:sz w:val="28"/>
          <w:szCs w:val="28"/>
          <w:lang w:eastAsia="ru-RU"/>
        </w:rPr>
        <w:t xml:space="preserve">кспертизы проектов муниципальных правовых актов Думы Демянского муниципального округа и проектов муниципальных программ Демянского муниципального округа.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shd w:val="clear" w:color="auto" w:fill="FFFFFF"/>
        </w:rPr>
        <w:lastRenderedPageBreak/>
        <w:t>Проведенные в 2024 году контрольные и экспертно-аналитические мероприятия выявили случаи нарушения бюджетного законодательства и прочие нарушения в сфере финансово-хозяйственной деятельности органов местного самоуправления и муниципальных учреждений.</w:t>
      </w:r>
    </w:p>
    <w:p w:rsidR="00163A87" w:rsidRPr="002A1CE3"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Одной из главных задач внешнего муниципального финансового контроля является выявление нарушений и недостатков в финансово-бюджетной сфере. Второй, не менее значимой задачей является профилактика отклонений от принятых стандартов и нарушений норм законов. В связи с этим в деятельности Контрольно-счетной палаты особое внимание уделялось работе, направленной </w:t>
      </w:r>
      <w:r w:rsidRPr="002A1CE3">
        <w:rPr>
          <w:rFonts w:ascii="Times New Roman" w:eastAsia="Times New Roman" w:hAnsi="Times New Roman" w:cs="Times New Roman"/>
          <w:sz w:val="28"/>
          <w:szCs w:val="28"/>
        </w:rPr>
        <w:t xml:space="preserve">на </w:t>
      </w:r>
      <w:r w:rsidRPr="002A1CE3">
        <w:rPr>
          <w:rFonts w:ascii="Times New Roman" w:eastAsia="Times New Roman" w:hAnsi="Times New Roman" w:cs="Times New Roman"/>
          <w:bCs/>
          <w:sz w:val="28"/>
          <w:szCs w:val="28"/>
        </w:rPr>
        <w:t>упреждение нарушений</w:t>
      </w:r>
      <w:r w:rsidRPr="002A1CE3">
        <w:rPr>
          <w:rFonts w:ascii="Times New Roman" w:eastAsia="Times New Roman" w:hAnsi="Times New Roman" w:cs="Times New Roman"/>
          <w:sz w:val="28"/>
          <w:szCs w:val="28"/>
        </w:rPr>
        <w:t>.</w:t>
      </w:r>
    </w:p>
    <w:p w:rsidR="00163A87" w:rsidRPr="00163A87" w:rsidRDefault="00163A87" w:rsidP="00163A87">
      <w:pPr>
        <w:spacing w:after="0" w:line="360" w:lineRule="atLeast"/>
        <w:ind w:firstLine="709"/>
        <w:jc w:val="both"/>
        <w:rPr>
          <w:rFonts w:ascii="Times New Roman" w:eastAsia="Times New Roman" w:hAnsi="Times New Roman" w:cs="Times New Roman"/>
          <w:b/>
          <w:bCs/>
          <w:sz w:val="28"/>
          <w:szCs w:val="28"/>
        </w:rPr>
      </w:pPr>
    </w:p>
    <w:p w:rsidR="00163A87" w:rsidRPr="00163A87" w:rsidRDefault="00163A87" w:rsidP="00D321B9">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2.Экспертно-аналитическая деятельность</w:t>
      </w:r>
    </w:p>
    <w:p w:rsidR="00163A87" w:rsidRPr="00163A87" w:rsidRDefault="00163A87" w:rsidP="00163A87">
      <w:pPr>
        <w:spacing w:after="0" w:line="360" w:lineRule="atLeast"/>
        <w:ind w:firstLine="709"/>
        <w:jc w:val="both"/>
        <w:rPr>
          <w:rFonts w:ascii="Times New Roman" w:eastAsia="Times New Roman" w:hAnsi="Times New Roman" w:cs="Times New Roman"/>
          <w:b/>
          <w:bCs/>
          <w:color w:val="000000" w:themeColor="text1"/>
          <w:sz w:val="28"/>
          <w:szCs w:val="28"/>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color w:val="000000" w:themeColor="text1"/>
          <w:sz w:val="28"/>
          <w:szCs w:val="28"/>
        </w:rPr>
        <w:t xml:space="preserve">Важным </w:t>
      </w:r>
      <w:r w:rsidRPr="00163A87">
        <w:rPr>
          <w:rFonts w:ascii="Times New Roman" w:eastAsia="Times New Roman" w:hAnsi="Times New Roman" w:cs="Times New Roman"/>
          <w:sz w:val="28"/>
          <w:szCs w:val="28"/>
        </w:rPr>
        <w:t xml:space="preserve">направлением в работе Контрольно-счетной палаты в отчетном году, являлась экспертно-аналитическая деятельность, в рамках которой, проводились экспертизы, поступивших проектов решений Думы Демянского муниципального округа, экспертизы муниципальных программ (внесение изменений в муниципальные программы).  </w:t>
      </w:r>
    </w:p>
    <w:p w:rsidR="00163A87" w:rsidRPr="00163A87" w:rsidRDefault="00163A87" w:rsidP="00163A87">
      <w:pPr>
        <w:spacing w:after="0" w:line="360" w:lineRule="atLeast"/>
        <w:ind w:firstLine="709"/>
        <w:jc w:val="both"/>
        <w:rPr>
          <w:rFonts w:ascii="Times New Roman" w:eastAsia="Times New Roman" w:hAnsi="Times New Roman" w:cs="Times New Roman"/>
          <w:color w:val="FF0000"/>
          <w:sz w:val="28"/>
          <w:szCs w:val="28"/>
        </w:rPr>
      </w:pPr>
      <w:r w:rsidRPr="00163A87">
        <w:rPr>
          <w:rFonts w:ascii="Times New Roman" w:eastAsia="Times New Roman" w:hAnsi="Times New Roman" w:cs="Times New Roman"/>
          <w:sz w:val="28"/>
          <w:szCs w:val="28"/>
        </w:rPr>
        <w:t xml:space="preserve">Проведение экспертно-аналитических мероприятий направлено на обеспечение единой системы контроля, реализуемого на стадиях </w:t>
      </w:r>
      <w:proofErr w:type="gramStart"/>
      <w:r w:rsidRPr="00163A87">
        <w:rPr>
          <w:rFonts w:ascii="Times New Roman" w:eastAsia="Times New Roman" w:hAnsi="Times New Roman" w:cs="Times New Roman"/>
          <w:sz w:val="28"/>
          <w:szCs w:val="28"/>
        </w:rPr>
        <w:t>предвари</w:t>
      </w:r>
      <w:r w:rsidR="00D321B9">
        <w:rPr>
          <w:rFonts w:ascii="Times New Roman" w:eastAsia="Times New Roman" w:hAnsi="Times New Roman" w:cs="Times New Roman"/>
          <w:sz w:val="28"/>
          <w:szCs w:val="28"/>
        </w:rPr>
        <w:t>-</w:t>
      </w:r>
      <w:r w:rsidRPr="00163A87">
        <w:rPr>
          <w:rFonts w:ascii="Times New Roman" w:eastAsia="Times New Roman" w:hAnsi="Times New Roman" w:cs="Times New Roman"/>
          <w:sz w:val="28"/>
          <w:szCs w:val="28"/>
        </w:rPr>
        <w:t>тельного</w:t>
      </w:r>
      <w:proofErr w:type="gramEnd"/>
      <w:r w:rsidRPr="00163A87">
        <w:rPr>
          <w:rFonts w:ascii="Times New Roman" w:eastAsia="Times New Roman" w:hAnsi="Times New Roman" w:cs="Times New Roman"/>
          <w:sz w:val="28"/>
          <w:szCs w:val="28"/>
        </w:rPr>
        <w:t xml:space="preserve"> и последующего контроля.</w:t>
      </w:r>
      <w:r w:rsidRPr="00163A87">
        <w:rPr>
          <w:rFonts w:ascii="Times New Roman" w:eastAsia="Times New Roman" w:hAnsi="Times New Roman" w:cs="Times New Roman"/>
          <w:color w:val="FF0000"/>
          <w:sz w:val="28"/>
          <w:szCs w:val="28"/>
        </w:rPr>
        <w:t xml:space="preserve">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Проведение экспертиз позволяет выявить и предотвратить возможные финансовые нарушения на стадии еще проектной работы.</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lang w:eastAsia="ru-RU"/>
        </w:rPr>
        <w:t>Общий объем проверенных в ходе экспертно-аналитических мероприятий бюджетных средств составил 521415,4</w:t>
      </w:r>
      <w:r w:rsidR="00D321B9">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тыс</w:t>
      </w:r>
      <w:proofErr w:type="gramStart"/>
      <w:r w:rsidRPr="00163A87">
        <w:rPr>
          <w:rFonts w:ascii="Times New Roman" w:eastAsia="Times New Roman" w:hAnsi="Times New Roman" w:cs="Times New Roman"/>
          <w:sz w:val="28"/>
          <w:szCs w:val="28"/>
          <w:lang w:eastAsia="ru-RU"/>
        </w:rPr>
        <w:t>.р</w:t>
      </w:r>
      <w:proofErr w:type="gramEnd"/>
      <w:r w:rsidRPr="00163A87">
        <w:rPr>
          <w:rFonts w:ascii="Times New Roman" w:eastAsia="Times New Roman" w:hAnsi="Times New Roman" w:cs="Times New Roman"/>
          <w:sz w:val="28"/>
          <w:szCs w:val="28"/>
          <w:lang w:eastAsia="ru-RU"/>
        </w:rPr>
        <w:t>ублей</w:t>
      </w:r>
      <w:proofErr w:type="spellEnd"/>
      <w:r w:rsidRPr="00163A87">
        <w:rPr>
          <w:rFonts w:ascii="Times New Roman" w:eastAsia="Times New Roman" w:hAnsi="Times New Roman" w:cs="Times New Roman"/>
          <w:sz w:val="28"/>
          <w:szCs w:val="28"/>
          <w:lang w:eastAsia="ru-RU"/>
        </w:rPr>
        <w:t>. Экспертно-аналитическими мероприятиями охвачено 20 объектов, из них: 19-органы местного самоуправления; 1-муниципальное учреждение.</w:t>
      </w:r>
      <w:r w:rsidRPr="00163A87">
        <w:rPr>
          <w:rFonts w:ascii="Times New Roman" w:eastAsia="Times New Roman" w:hAnsi="Times New Roman" w:cs="Times New Roman"/>
          <w:sz w:val="28"/>
          <w:szCs w:val="28"/>
        </w:rPr>
        <w:t xml:space="preserve"> Общая сумма нарушений составила 11,64</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w:t>
      </w:r>
      <w:proofErr w:type="gramStart"/>
      <w:r w:rsidRPr="00163A87">
        <w:rPr>
          <w:rFonts w:ascii="Times New Roman" w:eastAsia="Times New Roman" w:hAnsi="Times New Roman" w:cs="Times New Roman"/>
          <w:sz w:val="28"/>
          <w:szCs w:val="28"/>
        </w:rPr>
        <w:t>.р</w:t>
      </w:r>
      <w:proofErr w:type="gramEnd"/>
      <w:r w:rsidRPr="00163A87">
        <w:rPr>
          <w:rFonts w:ascii="Times New Roman" w:eastAsia="Times New Roman" w:hAnsi="Times New Roman" w:cs="Times New Roman"/>
          <w:sz w:val="28"/>
          <w:szCs w:val="28"/>
        </w:rPr>
        <w:t>ублей</w:t>
      </w:r>
      <w:proofErr w:type="spellEnd"/>
      <w:r w:rsidRPr="00163A87">
        <w:rPr>
          <w:rFonts w:ascii="Times New Roman" w:eastAsia="Times New Roman" w:hAnsi="Times New Roman" w:cs="Times New Roman"/>
          <w:sz w:val="28"/>
          <w:szCs w:val="28"/>
        </w:rPr>
        <w:t>.</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2024 году Контрольно-счетной палатой проведены следующие экспертно-аналитические мероприятия: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экспертиза проекта решения Думы Демянского муниципального округа «Об исполнении бюджета Демянского муниципального района за 2023 год»,  решений Думы Демянского муниципального округа об исполнении местных  бюджетов за 2023 год - 10 заключений (в том числе  по </w:t>
      </w:r>
      <w:proofErr w:type="spellStart"/>
      <w:r w:rsidRPr="00163A87">
        <w:rPr>
          <w:rFonts w:ascii="Times New Roman" w:eastAsia="Times New Roman" w:hAnsi="Times New Roman" w:cs="Times New Roman"/>
          <w:sz w:val="28"/>
          <w:szCs w:val="28"/>
          <w:lang w:eastAsia="ru-RU"/>
        </w:rPr>
        <w:t>Полновскому</w:t>
      </w:r>
      <w:proofErr w:type="spellEnd"/>
      <w:r w:rsidRPr="00163A87">
        <w:rPr>
          <w:rFonts w:ascii="Times New Roman" w:eastAsia="Times New Roman" w:hAnsi="Times New Roman" w:cs="Times New Roman"/>
          <w:sz w:val="28"/>
          <w:szCs w:val="28"/>
          <w:lang w:eastAsia="ru-RU"/>
        </w:rPr>
        <w:t xml:space="preserve"> сельскому поселению 2 заключения);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экспертиза внешней проверки годовой бюджетной отчетности главных распорядителей бюджетных средств за 2023 год -5 заключений;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экспертиза проекта решения Думы Демянского муниципального округа о бюджете Демянского муниципального округа на 2025 год и плановый период 2026 и 2027 годов - 1 заключение (первое чтение бюджета) и 1 аналитическая записка (второе чтение бюджета);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lastRenderedPageBreak/>
        <w:t>экспертиза проектов решений Думы Демянского муниципального округа о внесении изменений в бюджет Демянского муниципального округа на 2024 год и на плановый период 2025 и 2026 годов - 8 заключений;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экспертизы проектов муниципальных программ Демянского муниципального округа - 145 (путем визирования листа согласования);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lang w:eastAsia="ru-RU"/>
        </w:rPr>
        <w:t xml:space="preserve">экспертизы иных проектов муниципальных правовых актов -3 (путем визирования листа согласования).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Также в отчетном периоде проведены «тематические» экспертно-аналитические мероприятия: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color w:val="000000"/>
          <w:sz w:val="28"/>
          <w:szCs w:val="28"/>
          <w:lang w:eastAsia="ru-RU"/>
        </w:rPr>
        <w:t xml:space="preserve">1) </w:t>
      </w:r>
      <w:r w:rsidRPr="00163A87">
        <w:rPr>
          <w:rFonts w:ascii="Times New Roman" w:eastAsia="Times New Roman" w:hAnsi="Times New Roman" w:cs="Times New Roman"/>
          <w:sz w:val="28"/>
          <w:szCs w:val="28"/>
          <w:lang w:eastAsia="ru-RU"/>
        </w:rPr>
        <w:t xml:space="preserve">«Мониторинг реализации мероприятий региональных проектов и государственных (муниципальных) программ в части капитального ремонта объектов муниципальной собственности». По результатам, которого установлено: для завершения работ по выполнению капитального ремонта здания между МАОУ «Демянская средняя школа имени Героя Советского Союза А.Н. Дехтяренко» заключен договор с ООО «КС СТРОИТЕЛЬСТВО И СНАБЖЕНИЕ».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 целью определения фактически выполненных объемов работ подрядчиком и соответствия объему выполненных работ, предусмотренному исполнительной документацией, контрольной группой были произведены выходы на объект для выборочного контрольного обмера.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В результате выборочного контрольного обмера (фактического расхода линолеума коммерческого гомогенного «</w:t>
      </w:r>
      <w:r w:rsidRPr="00163A87">
        <w:rPr>
          <w:rFonts w:ascii="Times New Roman" w:eastAsia="Times New Roman" w:hAnsi="Times New Roman" w:cs="Times New Roman"/>
          <w:sz w:val="28"/>
          <w:szCs w:val="28"/>
          <w:lang w:val="en-US" w:eastAsia="ru-RU"/>
        </w:rPr>
        <w:t>TAPKETT</w:t>
      </w:r>
      <w:r w:rsidRPr="00163A87">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val="en-US" w:eastAsia="ru-RU"/>
        </w:rPr>
        <w:t>PRIMO</w:t>
      </w:r>
      <w:r w:rsidRPr="00163A87">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val="en-US" w:eastAsia="ru-RU"/>
        </w:rPr>
        <w:t>PLUS</w:t>
      </w:r>
      <w:r w:rsidRPr="00163A87">
        <w:rPr>
          <w:rFonts w:ascii="Times New Roman" w:eastAsia="Times New Roman" w:hAnsi="Times New Roman" w:cs="Times New Roman"/>
          <w:sz w:val="28"/>
          <w:szCs w:val="28"/>
          <w:lang w:eastAsia="ru-RU"/>
        </w:rPr>
        <w:t xml:space="preserve">», напольной плитки, установки унитазов, умывальников, поддонов, </w:t>
      </w:r>
      <w:proofErr w:type="spellStart"/>
      <w:r w:rsidRPr="00163A87">
        <w:rPr>
          <w:rFonts w:ascii="Times New Roman" w:eastAsia="Times New Roman" w:hAnsi="Times New Roman" w:cs="Times New Roman"/>
          <w:sz w:val="28"/>
          <w:szCs w:val="28"/>
          <w:lang w:eastAsia="ru-RU"/>
        </w:rPr>
        <w:t>электроводонагревателей</w:t>
      </w:r>
      <w:proofErr w:type="spellEnd"/>
      <w:r w:rsidRPr="00163A87">
        <w:rPr>
          <w:rFonts w:ascii="Times New Roman" w:eastAsia="Times New Roman" w:hAnsi="Times New Roman" w:cs="Times New Roman"/>
          <w:sz w:val="28"/>
          <w:szCs w:val="28"/>
          <w:lang w:eastAsia="ru-RU"/>
        </w:rPr>
        <w:t xml:space="preserve">, блоков дверных, радиаторов отопления) завышений объемов выполненных работ подрядчиком не выявлено;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color w:val="000000"/>
          <w:sz w:val="28"/>
          <w:szCs w:val="28"/>
          <w:lang w:eastAsia="ru-RU"/>
        </w:rPr>
        <w:t xml:space="preserve">2) </w:t>
      </w:r>
      <w:r w:rsidRPr="00163A87">
        <w:rPr>
          <w:rFonts w:ascii="Times New Roman" w:eastAsia="Times New Roman" w:hAnsi="Times New Roman" w:cs="Times New Roman"/>
          <w:sz w:val="28"/>
          <w:szCs w:val="28"/>
          <w:lang w:eastAsia="ru-RU"/>
        </w:rPr>
        <w:t xml:space="preserve">«Сбор, обобщение и анализ информации в отношении объектов капитального строительства муниципальной собственности Демянского муниципального округа, строительство (реконструкция, рекультивация) которых не завершено» (по состоянию на 01.09.2024). Мероприятие проводилось совместно со Счетной палатой Новгородской области. По результатам, которого установлено, что по состоянию на 01.09.2024 все 25 объектов нецентрализованного водоснабжения населения (колодцы) введены в эксплуатацию в сроки, предусмотренные муниципальными контрактами;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color w:val="000000"/>
          <w:sz w:val="28"/>
          <w:szCs w:val="28"/>
          <w:lang w:eastAsia="ru-RU"/>
        </w:rPr>
        <w:t xml:space="preserve">3) </w:t>
      </w:r>
      <w:r w:rsidRPr="00163A87">
        <w:rPr>
          <w:rFonts w:ascii="Times New Roman" w:eastAsia="Times New Roman" w:hAnsi="Times New Roman" w:cs="Times New Roman"/>
          <w:sz w:val="28"/>
          <w:szCs w:val="28"/>
          <w:lang w:eastAsia="ru-RU"/>
        </w:rPr>
        <w:t xml:space="preserve">«Проверка обоснованности и целевого расходования денежных средств, выделенных в качестве субсидии из бюджета Демянского </w:t>
      </w:r>
      <w:proofErr w:type="spellStart"/>
      <w:proofErr w:type="gramStart"/>
      <w:r w:rsidRPr="00163A87">
        <w:rPr>
          <w:rFonts w:ascii="Times New Roman" w:eastAsia="Times New Roman" w:hAnsi="Times New Roman" w:cs="Times New Roman"/>
          <w:sz w:val="28"/>
          <w:szCs w:val="28"/>
          <w:lang w:eastAsia="ru-RU"/>
        </w:rPr>
        <w:t>муници</w:t>
      </w:r>
      <w:r w:rsidR="00D321B9">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пального</w:t>
      </w:r>
      <w:proofErr w:type="spellEnd"/>
      <w:proofErr w:type="gramEnd"/>
      <w:r w:rsidRPr="00163A87">
        <w:rPr>
          <w:rFonts w:ascii="Times New Roman" w:eastAsia="Times New Roman" w:hAnsi="Times New Roman" w:cs="Times New Roman"/>
          <w:sz w:val="28"/>
          <w:szCs w:val="28"/>
          <w:lang w:eastAsia="ru-RU"/>
        </w:rPr>
        <w:t xml:space="preserve"> округа в отношении ООО «</w:t>
      </w:r>
      <w:proofErr w:type="spellStart"/>
      <w:r w:rsidRPr="00163A87">
        <w:rPr>
          <w:rFonts w:ascii="Times New Roman" w:eastAsia="Times New Roman" w:hAnsi="Times New Roman" w:cs="Times New Roman"/>
          <w:sz w:val="28"/>
          <w:szCs w:val="28"/>
          <w:lang w:eastAsia="ru-RU"/>
        </w:rPr>
        <w:t>Жилищник</w:t>
      </w:r>
      <w:proofErr w:type="spellEnd"/>
      <w:r w:rsidRPr="00163A87">
        <w:rPr>
          <w:rFonts w:ascii="Times New Roman" w:eastAsia="Times New Roman" w:hAnsi="Times New Roman" w:cs="Times New Roman"/>
          <w:sz w:val="28"/>
          <w:szCs w:val="28"/>
          <w:lang w:eastAsia="ru-RU"/>
        </w:rPr>
        <w:t xml:space="preserve">»» (по запросу СУ СК России по Новгородской области Новгородского межрайонного следственного отдела).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По результатам проведенного анализа нормативных правовых актов и иных документов, регулирующих вопросы предоставления субсидии из </w:t>
      </w:r>
      <w:r w:rsidRPr="00163A87">
        <w:rPr>
          <w:rFonts w:ascii="Times New Roman" w:eastAsia="Times New Roman" w:hAnsi="Times New Roman" w:cs="Times New Roman"/>
          <w:sz w:val="28"/>
          <w:szCs w:val="28"/>
          <w:lang w:eastAsia="ru-RU"/>
        </w:rPr>
        <w:lastRenderedPageBreak/>
        <w:t>бюджета Демянского муниципального округа в отношен</w:t>
      </w:r>
      <w:proofErr w:type="gramStart"/>
      <w:r w:rsidRPr="00163A87">
        <w:rPr>
          <w:rFonts w:ascii="Times New Roman" w:eastAsia="Times New Roman" w:hAnsi="Times New Roman" w:cs="Times New Roman"/>
          <w:sz w:val="28"/>
          <w:szCs w:val="28"/>
          <w:lang w:eastAsia="ru-RU"/>
        </w:rPr>
        <w:t>ии ООО</w:t>
      </w:r>
      <w:proofErr w:type="gramEnd"/>
      <w:r w:rsidRPr="00163A87">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Жилищник</w:t>
      </w:r>
      <w:proofErr w:type="spellEnd"/>
      <w:r w:rsidRPr="00163A87">
        <w:rPr>
          <w:rFonts w:ascii="Times New Roman" w:eastAsia="Times New Roman" w:hAnsi="Times New Roman" w:cs="Times New Roman"/>
          <w:sz w:val="28"/>
          <w:szCs w:val="28"/>
          <w:lang w:eastAsia="ru-RU"/>
        </w:rPr>
        <w:t>» нарушений не установлено.</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В ходе проверки расчетов средств на возмещение затрат, в связи с оказанием услуг по содержанию жилищного фонда установлено, что   площади многоквартирных домов, учитываемых при расчете, не соответствуют площадям, обозначенным в перечне и технических паспортах многоквартирных домов (11 случаев).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Заключения, подготовленные по результатам проведения экспертно-аналитических мероприятий, направлялись в Думу Демянского муниципального округа, разработчикам проектов документов.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p>
    <w:p w:rsidR="00163A87" w:rsidRPr="00163A87" w:rsidRDefault="00163A87" w:rsidP="00D321B9">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3.</w:t>
      </w:r>
      <w:r w:rsidR="00E779D5">
        <w:rPr>
          <w:rFonts w:ascii="Times New Roman" w:eastAsia="Times New Roman" w:hAnsi="Times New Roman" w:cs="Times New Roman"/>
          <w:b/>
          <w:bCs/>
          <w:sz w:val="28"/>
          <w:szCs w:val="28"/>
        </w:rPr>
        <w:t xml:space="preserve"> </w:t>
      </w:r>
      <w:r w:rsidRPr="00163A87">
        <w:rPr>
          <w:rFonts w:ascii="Times New Roman" w:eastAsia="Times New Roman" w:hAnsi="Times New Roman" w:cs="Times New Roman"/>
          <w:b/>
          <w:bCs/>
          <w:sz w:val="28"/>
          <w:szCs w:val="28"/>
        </w:rPr>
        <w:t>Контрольная деятельность</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Контрольно-счетной палатой в рамках полномочий по осуществлению внешнего муниципального финансового контроля в отчетном году было проведено 4 контрольных мероприятия, в том числе сплошным методом 1 мероприятие по проверке финансово-хозяйственной деятельности муниципального Учреждения.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Всего контрольными мероприятиями в 2024 году охвачено 4 объекта, сумма проверенных средств составила 20857,7</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w:t>
      </w:r>
      <w:proofErr w:type="gramStart"/>
      <w:r w:rsidRPr="00163A87">
        <w:rPr>
          <w:rFonts w:ascii="Times New Roman" w:eastAsia="Times New Roman" w:hAnsi="Times New Roman" w:cs="Times New Roman"/>
          <w:sz w:val="28"/>
          <w:szCs w:val="28"/>
        </w:rPr>
        <w:t>.р</w:t>
      </w:r>
      <w:proofErr w:type="gramEnd"/>
      <w:r w:rsidRPr="00163A87">
        <w:rPr>
          <w:rFonts w:ascii="Times New Roman" w:eastAsia="Times New Roman" w:hAnsi="Times New Roman" w:cs="Times New Roman"/>
          <w:sz w:val="28"/>
          <w:szCs w:val="28"/>
        </w:rPr>
        <w:t>ублей</w:t>
      </w:r>
      <w:proofErr w:type="spellEnd"/>
      <w:r w:rsidRPr="00163A87">
        <w:rPr>
          <w:rFonts w:ascii="Times New Roman" w:eastAsia="Times New Roman" w:hAnsi="Times New Roman" w:cs="Times New Roman"/>
          <w:sz w:val="28"/>
          <w:szCs w:val="28"/>
        </w:rPr>
        <w:t>, из них: бюджетных средств-20644,1</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тыс.рублей</w:t>
      </w:r>
      <w:proofErr w:type="spellEnd"/>
      <w:r w:rsidRPr="00163A87">
        <w:rPr>
          <w:rFonts w:ascii="Times New Roman" w:eastAsia="Times New Roman" w:hAnsi="Times New Roman" w:cs="Times New Roman"/>
          <w:sz w:val="28"/>
          <w:szCs w:val="28"/>
        </w:rPr>
        <w:t>; внебюджетных средств</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213,6</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тыс.рублей</w:t>
      </w:r>
      <w:proofErr w:type="spellEnd"/>
      <w:r w:rsidRPr="00163A87">
        <w:rPr>
          <w:rFonts w:ascii="Times New Roman" w:eastAsia="Times New Roman" w:hAnsi="Times New Roman" w:cs="Times New Roman"/>
          <w:sz w:val="28"/>
          <w:szCs w:val="28"/>
        </w:rPr>
        <w:t>. Общая сумма нарушений составила 51,7</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w:t>
      </w:r>
      <w:proofErr w:type="gramStart"/>
      <w:r w:rsidRPr="00163A87">
        <w:rPr>
          <w:rFonts w:ascii="Times New Roman" w:eastAsia="Times New Roman" w:hAnsi="Times New Roman" w:cs="Times New Roman"/>
          <w:sz w:val="28"/>
          <w:szCs w:val="28"/>
        </w:rPr>
        <w:t>.р</w:t>
      </w:r>
      <w:proofErr w:type="gramEnd"/>
      <w:r w:rsidRPr="00163A87">
        <w:rPr>
          <w:rFonts w:ascii="Times New Roman" w:eastAsia="Times New Roman" w:hAnsi="Times New Roman" w:cs="Times New Roman"/>
          <w:sz w:val="28"/>
          <w:szCs w:val="28"/>
        </w:rPr>
        <w:t>ублей</w:t>
      </w:r>
      <w:proofErr w:type="spellEnd"/>
      <w:r w:rsidRPr="00163A87">
        <w:rPr>
          <w:rFonts w:ascii="Times New Roman" w:eastAsia="Times New Roman" w:hAnsi="Times New Roman" w:cs="Times New Roman"/>
          <w:sz w:val="28"/>
          <w:szCs w:val="28"/>
        </w:rPr>
        <w:t>.</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1. </w:t>
      </w:r>
      <w:proofErr w:type="gramStart"/>
      <w:r w:rsidRPr="00163A87">
        <w:rPr>
          <w:rFonts w:ascii="Times New Roman" w:eastAsia="Times New Roman" w:hAnsi="Times New Roman" w:cs="Times New Roman"/>
          <w:sz w:val="28"/>
          <w:szCs w:val="28"/>
          <w:lang w:eastAsia="ru-RU"/>
        </w:rPr>
        <w:t>В целях осуществления контроля за</w:t>
      </w:r>
      <w:r w:rsidRPr="00163A87">
        <w:rPr>
          <w:rFonts w:ascii="Times New Roman" w:eastAsia="Times New Roman" w:hAnsi="Times New Roman" w:cs="Times New Roman"/>
          <w:b/>
          <w:bCs/>
          <w:sz w:val="28"/>
          <w:szCs w:val="28"/>
          <w:lang w:eastAsia="ru-RU"/>
        </w:rPr>
        <w:t xml:space="preserve"> </w:t>
      </w:r>
      <w:r w:rsidRPr="00163A87">
        <w:rPr>
          <w:rFonts w:ascii="Times New Roman" w:eastAsia="Times New Roman" w:hAnsi="Times New Roman" w:cs="Times New Roman"/>
          <w:color w:val="000000"/>
          <w:sz w:val="28"/>
          <w:szCs w:val="28"/>
          <w:lang w:eastAsia="ru-RU"/>
        </w:rPr>
        <w:t>соблюдением бюджетного законодательства Р</w:t>
      </w:r>
      <w:r w:rsidR="00D321B9">
        <w:rPr>
          <w:rFonts w:ascii="Times New Roman" w:eastAsia="Times New Roman" w:hAnsi="Times New Roman" w:cs="Times New Roman"/>
          <w:color w:val="000000"/>
          <w:sz w:val="28"/>
          <w:szCs w:val="28"/>
          <w:lang w:eastAsia="ru-RU"/>
        </w:rPr>
        <w:t xml:space="preserve">оссийской </w:t>
      </w:r>
      <w:r w:rsidRPr="00163A87">
        <w:rPr>
          <w:rFonts w:ascii="Times New Roman" w:eastAsia="Times New Roman" w:hAnsi="Times New Roman" w:cs="Times New Roman"/>
          <w:color w:val="000000"/>
          <w:sz w:val="28"/>
          <w:szCs w:val="28"/>
          <w:lang w:eastAsia="ru-RU"/>
        </w:rPr>
        <w:t>Ф</w:t>
      </w:r>
      <w:r w:rsidR="00D321B9">
        <w:rPr>
          <w:rFonts w:ascii="Times New Roman" w:eastAsia="Times New Roman" w:hAnsi="Times New Roman" w:cs="Times New Roman"/>
          <w:color w:val="000000"/>
          <w:sz w:val="28"/>
          <w:szCs w:val="28"/>
          <w:lang w:eastAsia="ru-RU"/>
        </w:rPr>
        <w:t>едерации</w:t>
      </w:r>
      <w:r w:rsidRPr="00163A87">
        <w:rPr>
          <w:rFonts w:ascii="Times New Roman" w:eastAsia="Times New Roman" w:hAnsi="Times New Roman" w:cs="Times New Roman"/>
          <w:color w:val="000000"/>
          <w:sz w:val="28"/>
          <w:szCs w:val="28"/>
          <w:lang w:eastAsia="ru-RU"/>
        </w:rPr>
        <w:t>, законностью и целесообразностью использования бюджетных и внебюджетных средств, правильностью отражения хозяйственных и финансовых операций в бухгалтерском учете и отчетности, правомерности и эффективности использования материальных ресурсов Контрольно-счетной палатой п</w:t>
      </w:r>
      <w:r w:rsidRPr="00163A87">
        <w:rPr>
          <w:rFonts w:ascii="Times New Roman" w:eastAsia="Times New Roman" w:hAnsi="Times New Roman" w:cs="Times New Roman"/>
          <w:sz w:val="28"/>
          <w:szCs w:val="28"/>
          <w:lang w:eastAsia="ru-RU"/>
        </w:rPr>
        <w:t>о предложению Администрации  Демянского муниципального района в 2024 году проведена проверка финансово-хозяйственной деятельности муниципального автономного учреждения дополнительного образования «Центр детского творчества»</w:t>
      </w:r>
      <w:r w:rsidR="00D321B9">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eastAsia="ru-RU"/>
        </w:rPr>
        <w:t xml:space="preserve"> за 2023</w:t>
      </w:r>
      <w:proofErr w:type="gramEnd"/>
      <w:r w:rsidRPr="00163A87">
        <w:rPr>
          <w:rFonts w:ascii="Times New Roman" w:eastAsia="Times New Roman" w:hAnsi="Times New Roman" w:cs="Times New Roman"/>
          <w:sz w:val="28"/>
          <w:szCs w:val="28"/>
          <w:lang w:eastAsia="ru-RU"/>
        </w:rPr>
        <w:t xml:space="preserve"> год и четыре месяца 2024 года. Общая сумма проверенных средств составила 5097,2</w:t>
      </w:r>
      <w:r w:rsidR="00D321B9">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тыс</w:t>
      </w:r>
      <w:proofErr w:type="gramStart"/>
      <w:r w:rsidRPr="00163A87">
        <w:rPr>
          <w:rFonts w:ascii="Times New Roman" w:eastAsia="Times New Roman" w:hAnsi="Times New Roman" w:cs="Times New Roman"/>
          <w:sz w:val="28"/>
          <w:szCs w:val="28"/>
          <w:lang w:eastAsia="ru-RU"/>
        </w:rPr>
        <w:t>.р</w:t>
      </w:r>
      <w:proofErr w:type="gramEnd"/>
      <w:r w:rsidRPr="00163A87">
        <w:rPr>
          <w:rFonts w:ascii="Times New Roman" w:eastAsia="Times New Roman" w:hAnsi="Times New Roman" w:cs="Times New Roman"/>
          <w:sz w:val="28"/>
          <w:szCs w:val="28"/>
          <w:lang w:eastAsia="ru-RU"/>
        </w:rPr>
        <w:t>ублей</w:t>
      </w:r>
      <w:proofErr w:type="spellEnd"/>
      <w:r w:rsidRPr="00163A87">
        <w:rPr>
          <w:rFonts w:ascii="Times New Roman" w:eastAsia="Times New Roman" w:hAnsi="Times New Roman" w:cs="Times New Roman"/>
          <w:sz w:val="28"/>
          <w:szCs w:val="28"/>
          <w:lang w:eastAsia="ru-RU"/>
        </w:rPr>
        <w:t>.</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ходе контрольного мероприятия были проверены:</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кассовые и банковские операции;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расчеты с поставщиками и подрядчиками;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расчеты с подотчетными лицами;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расчеты по заработной плате;</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соблюдение трудового законодательства </w:t>
      </w:r>
      <w:r w:rsidR="00D321B9" w:rsidRPr="00163A87">
        <w:rPr>
          <w:rFonts w:ascii="Times New Roman" w:eastAsia="Times New Roman" w:hAnsi="Times New Roman" w:cs="Times New Roman"/>
          <w:color w:val="000000"/>
          <w:sz w:val="28"/>
          <w:szCs w:val="28"/>
          <w:lang w:eastAsia="ru-RU"/>
        </w:rPr>
        <w:t>Р</w:t>
      </w:r>
      <w:r w:rsidR="00D321B9">
        <w:rPr>
          <w:rFonts w:ascii="Times New Roman" w:eastAsia="Times New Roman" w:hAnsi="Times New Roman" w:cs="Times New Roman"/>
          <w:color w:val="000000"/>
          <w:sz w:val="28"/>
          <w:szCs w:val="28"/>
          <w:lang w:eastAsia="ru-RU"/>
        </w:rPr>
        <w:t xml:space="preserve">оссийской </w:t>
      </w:r>
      <w:r w:rsidR="00D321B9" w:rsidRPr="00163A87">
        <w:rPr>
          <w:rFonts w:ascii="Times New Roman" w:eastAsia="Times New Roman" w:hAnsi="Times New Roman" w:cs="Times New Roman"/>
          <w:color w:val="000000"/>
          <w:sz w:val="28"/>
          <w:szCs w:val="28"/>
          <w:lang w:eastAsia="ru-RU"/>
        </w:rPr>
        <w:t>Ф</w:t>
      </w:r>
      <w:r w:rsidR="00D321B9">
        <w:rPr>
          <w:rFonts w:ascii="Times New Roman" w:eastAsia="Times New Roman" w:hAnsi="Times New Roman" w:cs="Times New Roman"/>
          <w:color w:val="000000"/>
          <w:sz w:val="28"/>
          <w:szCs w:val="28"/>
          <w:lang w:eastAsia="ru-RU"/>
        </w:rPr>
        <w:t>едерации</w:t>
      </w:r>
      <w:r w:rsidRPr="00163A87">
        <w:rPr>
          <w:rFonts w:ascii="Times New Roman" w:eastAsia="Times New Roman" w:hAnsi="Times New Roman" w:cs="Times New Roman"/>
          <w:sz w:val="28"/>
          <w:szCs w:val="28"/>
        </w:rPr>
        <w:t xml:space="preserve">;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учет основных средств и товарно-материальных ценностей.</w:t>
      </w:r>
    </w:p>
    <w:p w:rsidR="00163A87" w:rsidRPr="00163A87" w:rsidRDefault="00163A87" w:rsidP="00163A87">
      <w:pPr>
        <w:spacing w:after="0" w:line="360" w:lineRule="atLeast"/>
        <w:ind w:firstLine="709"/>
        <w:jc w:val="both"/>
        <w:rPr>
          <w:rFonts w:ascii="Times New Roman" w:eastAsia="Times New Roman" w:hAnsi="Times New Roman" w:cs="Times New Roman"/>
          <w:bCs/>
          <w:sz w:val="28"/>
          <w:szCs w:val="28"/>
        </w:rPr>
      </w:pPr>
      <w:r w:rsidRPr="00163A87">
        <w:rPr>
          <w:rFonts w:ascii="Times New Roman" w:eastAsia="Times New Roman" w:hAnsi="Times New Roman" w:cs="Times New Roman"/>
          <w:sz w:val="28"/>
          <w:szCs w:val="28"/>
        </w:rPr>
        <w:lastRenderedPageBreak/>
        <w:t xml:space="preserve">За проверяемый период при проверке финансово-хозяйственной деятельности Учреждения выявлено 72 нарушения на общую сумму нарушений </w:t>
      </w:r>
      <w:r w:rsidRPr="00163A87">
        <w:rPr>
          <w:rFonts w:ascii="Times New Roman" w:eastAsia="Times New Roman" w:hAnsi="Times New Roman" w:cs="Times New Roman"/>
          <w:bCs/>
          <w:sz w:val="28"/>
          <w:szCs w:val="28"/>
        </w:rPr>
        <w:t>51,7</w:t>
      </w:r>
      <w:r w:rsidR="00D321B9" w:rsidRPr="00D321B9">
        <w:rPr>
          <w:rFonts w:ascii="Times New Roman" w:eastAsia="Times New Roman" w:hAnsi="Times New Roman" w:cs="Times New Roman"/>
          <w:bCs/>
          <w:sz w:val="28"/>
          <w:szCs w:val="28"/>
        </w:rPr>
        <w:t xml:space="preserve"> </w:t>
      </w:r>
      <w:proofErr w:type="spellStart"/>
      <w:r w:rsidRPr="00163A87">
        <w:rPr>
          <w:rFonts w:ascii="Times New Roman" w:eastAsia="Times New Roman" w:hAnsi="Times New Roman" w:cs="Times New Roman"/>
          <w:bCs/>
          <w:sz w:val="28"/>
          <w:szCs w:val="28"/>
        </w:rPr>
        <w:t>тыс</w:t>
      </w:r>
      <w:proofErr w:type="gramStart"/>
      <w:r w:rsidRPr="00163A87">
        <w:rPr>
          <w:rFonts w:ascii="Times New Roman" w:eastAsia="Times New Roman" w:hAnsi="Times New Roman" w:cs="Times New Roman"/>
          <w:bCs/>
          <w:sz w:val="28"/>
          <w:szCs w:val="28"/>
        </w:rPr>
        <w:t>.р</w:t>
      </w:r>
      <w:proofErr w:type="gramEnd"/>
      <w:r w:rsidRPr="00163A87">
        <w:rPr>
          <w:rFonts w:ascii="Times New Roman" w:eastAsia="Times New Roman" w:hAnsi="Times New Roman" w:cs="Times New Roman"/>
          <w:bCs/>
          <w:sz w:val="28"/>
          <w:szCs w:val="28"/>
        </w:rPr>
        <w:t>ублей</w:t>
      </w:r>
      <w:proofErr w:type="spellEnd"/>
      <w:r w:rsidRPr="00163A87">
        <w:rPr>
          <w:rFonts w:ascii="Times New Roman" w:eastAsia="Times New Roman" w:hAnsi="Times New Roman" w:cs="Times New Roman"/>
          <w:bCs/>
          <w:sz w:val="28"/>
          <w:szCs w:val="28"/>
        </w:rPr>
        <w:t>, в том числе :</w:t>
      </w:r>
    </w:p>
    <w:p w:rsidR="00163A87" w:rsidRPr="00163A87" w:rsidRDefault="00163A87" w:rsidP="00163A87">
      <w:pPr>
        <w:spacing w:after="0" w:line="360" w:lineRule="atLeast"/>
        <w:ind w:firstLine="709"/>
        <w:jc w:val="both"/>
        <w:rPr>
          <w:rFonts w:ascii="Times New Roman" w:eastAsia="Times New Roman" w:hAnsi="Times New Roman" w:cs="Times New Roman"/>
          <w:b/>
          <w:bCs/>
          <w:sz w:val="28"/>
          <w:szCs w:val="28"/>
        </w:rPr>
      </w:pPr>
      <w:r w:rsidRPr="00163A87">
        <w:rPr>
          <w:rFonts w:ascii="Times New Roman" w:eastAsia="Times New Roman" w:hAnsi="Times New Roman" w:cs="Times New Roman"/>
          <w:sz w:val="28"/>
          <w:szCs w:val="28"/>
        </w:rPr>
        <w:t>недоплата заработной платы работникам Учреждения</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14,2</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w:t>
      </w:r>
      <w:proofErr w:type="gramStart"/>
      <w:r w:rsidRPr="00163A87">
        <w:rPr>
          <w:rFonts w:ascii="Times New Roman" w:eastAsia="Times New Roman" w:hAnsi="Times New Roman" w:cs="Times New Roman"/>
          <w:sz w:val="28"/>
          <w:szCs w:val="28"/>
        </w:rPr>
        <w:t>.р</w:t>
      </w:r>
      <w:proofErr w:type="gramEnd"/>
      <w:r w:rsidRPr="00163A87">
        <w:rPr>
          <w:rFonts w:ascii="Times New Roman" w:eastAsia="Times New Roman" w:hAnsi="Times New Roman" w:cs="Times New Roman"/>
          <w:sz w:val="28"/>
          <w:szCs w:val="28"/>
        </w:rPr>
        <w:t>ублей</w:t>
      </w:r>
      <w:proofErr w:type="spellEnd"/>
      <w:r w:rsidRPr="00163A87">
        <w:rPr>
          <w:rFonts w:ascii="Times New Roman" w:eastAsia="Times New Roman" w:hAnsi="Times New Roman" w:cs="Times New Roman"/>
          <w:sz w:val="28"/>
          <w:szCs w:val="28"/>
        </w:rPr>
        <w:t xml:space="preserve"> (4 случая);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переплата заработной платы работникам Учреждения - 17,8</w:t>
      </w:r>
      <w:r w:rsidR="00D321B9">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w:t>
      </w:r>
      <w:proofErr w:type="gramStart"/>
      <w:r w:rsidRPr="00163A87">
        <w:rPr>
          <w:rFonts w:ascii="Times New Roman" w:eastAsia="Times New Roman" w:hAnsi="Times New Roman" w:cs="Times New Roman"/>
          <w:sz w:val="28"/>
          <w:szCs w:val="28"/>
        </w:rPr>
        <w:t>.р</w:t>
      </w:r>
      <w:proofErr w:type="gramEnd"/>
      <w:r w:rsidRPr="00163A87">
        <w:rPr>
          <w:rFonts w:ascii="Times New Roman" w:eastAsia="Times New Roman" w:hAnsi="Times New Roman" w:cs="Times New Roman"/>
          <w:sz w:val="28"/>
          <w:szCs w:val="28"/>
        </w:rPr>
        <w:t>ублей</w:t>
      </w:r>
      <w:proofErr w:type="spellEnd"/>
      <w:r w:rsidRPr="00163A87">
        <w:rPr>
          <w:rFonts w:ascii="Times New Roman" w:eastAsia="Times New Roman" w:hAnsi="Times New Roman" w:cs="Times New Roman"/>
          <w:sz w:val="28"/>
          <w:szCs w:val="28"/>
        </w:rPr>
        <w:t xml:space="preserve"> (8 случаев);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отсутствие подтверждающих документов (платежных поручений) в журнале операций №</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2 «Операции с безналичными денежными средствами» (19 случаев);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отсутствие подтверждающих документов (акты, товарные накладные) в </w:t>
      </w:r>
      <w:proofErr w:type="gramStart"/>
      <w:r w:rsidRPr="00163A87">
        <w:rPr>
          <w:rFonts w:ascii="Times New Roman" w:eastAsia="Times New Roman" w:hAnsi="Times New Roman" w:cs="Times New Roman"/>
          <w:sz w:val="28"/>
          <w:szCs w:val="28"/>
        </w:rPr>
        <w:t>журнале-операций</w:t>
      </w:r>
      <w:proofErr w:type="gramEnd"/>
      <w:r w:rsidRPr="00163A87">
        <w:rPr>
          <w:rFonts w:ascii="Times New Roman" w:eastAsia="Times New Roman" w:hAnsi="Times New Roman" w:cs="Times New Roman"/>
          <w:sz w:val="28"/>
          <w:szCs w:val="28"/>
        </w:rPr>
        <w:t xml:space="preserve"> №</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 xml:space="preserve">4 «Расчеты с поставщиками и подрядчиками» </w:t>
      </w:r>
      <w:r w:rsidR="00D321B9">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(4 случая);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нарушения при оформлении </w:t>
      </w:r>
      <w:proofErr w:type="gramStart"/>
      <w:r w:rsidRPr="00163A87">
        <w:rPr>
          <w:rFonts w:ascii="Times New Roman" w:eastAsia="Times New Roman" w:hAnsi="Times New Roman" w:cs="Times New Roman"/>
          <w:sz w:val="28"/>
          <w:szCs w:val="28"/>
        </w:rPr>
        <w:t>журнала-операций</w:t>
      </w:r>
      <w:proofErr w:type="gramEnd"/>
      <w:r w:rsidRPr="00163A87">
        <w:rPr>
          <w:rFonts w:ascii="Times New Roman" w:eastAsia="Times New Roman" w:hAnsi="Times New Roman" w:cs="Times New Roman"/>
          <w:sz w:val="28"/>
          <w:szCs w:val="28"/>
        </w:rPr>
        <w:t xml:space="preserve"> №3 «Расчеты с подотчетными лицами» (не заполнены реквизиты, несвоевременно распечатываются регистры</w:t>
      </w:r>
      <w:r w:rsidR="00E779D5">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w:t>
      </w:r>
      <w:r w:rsidR="00E779D5">
        <w:rPr>
          <w:rFonts w:ascii="Times New Roman" w:eastAsia="Times New Roman" w:hAnsi="Times New Roman" w:cs="Times New Roman"/>
          <w:sz w:val="28"/>
          <w:szCs w:val="28"/>
        </w:rPr>
        <w:t xml:space="preserve"> </w:t>
      </w:r>
      <w:r w:rsidRPr="00163A87">
        <w:rPr>
          <w:rFonts w:ascii="Times New Roman" w:eastAsia="Times New Roman" w:hAnsi="Times New Roman" w:cs="Times New Roman"/>
          <w:sz w:val="28"/>
          <w:szCs w:val="28"/>
        </w:rPr>
        <w:t>12случав);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расхождения по взаиморасчетам с поставщиками и подрядчиками (акт сверки с данными бухгалтерского учета ПАО «Ростелеком-1случай);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приобретенная продукция (мнемосхемы, таблички) списывались без принятия к учету на счет 105 «Материальные запасы» (3 случая);</w:t>
      </w:r>
    </w:p>
    <w:p w:rsidR="00163A87" w:rsidRPr="00163A87" w:rsidRDefault="00163A87" w:rsidP="00163A87">
      <w:pPr>
        <w:spacing w:after="0" w:line="360" w:lineRule="atLeast"/>
        <w:ind w:firstLine="709"/>
        <w:jc w:val="both"/>
        <w:rPr>
          <w:rFonts w:ascii="Times New Roman" w:eastAsia="Times New Roman" w:hAnsi="Times New Roman" w:cs="Times New Roman"/>
          <w:color w:val="000000"/>
          <w:sz w:val="28"/>
          <w:szCs w:val="28"/>
          <w:shd w:val="clear" w:color="auto" w:fill="FFFFFF"/>
        </w:rPr>
      </w:pPr>
      <w:r w:rsidRPr="00163A87">
        <w:rPr>
          <w:rFonts w:ascii="Times New Roman" w:eastAsia="Times New Roman" w:hAnsi="Times New Roman" w:cs="Times New Roman"/>
          <w:sz w:val="28"/>
          <w:szCs w:val="28"/>
        </w:rPr>
        <w:t xml:space="preserve">нарушения при оформлении табелей учета рабочего времени. </w:t>
      </w:r>
      <w:proofErr w:type="gramStart"/>
      <w:r w:rsidRPr="00163A87">
        <w:rPr>
          <w:rFonts w:ascii="Times New Roman" w:eastAsia="Times New Roman" w:hAnsi="Times New Roman" w:cs="Times New Roman"/>
          <w:sz w:val="28"/>
          <w:szCs w:val="28"/>
        </w:rPr>
        <w:t>В</w:t>
      </w:r>
      <w:r w:rsidRPr="00163A87">
        <w:rPr>
          <w:rFonts w:ascii="Times New Roman" w:eastAsia="Times New Roman" w:hAnsi="Times New Roman" w:cs="Times New Roman"/>
          <w:color w:val="000000"/>
          <w:sz w:val="28"/>
          <w:szCs w:val="28"/>
          <w:shd w:val="clear" w:color="auto" w:fill="FFFFFF"/>
        </w:rPr>
        <w:t xml:space="preserve"> проверяемый период ежедневно проставлены рабочие  часы - 8 рабочих часов (40 рабочих часов в неделю) методисту, что является   нарушением пункта 2.1 приложения 1 к приказу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163A87">
        <w:rPr>
          <w:rFonts w:ascii="Times New Roman" w:eastAsia="Times New Roman" w:hAnsi="Times New Roman" w:cs="Times New Roman"/>
          <w:color w:val="000000"/>
          <w:sz w:val="28"/>
          <w:szCs w:val="28"/>
          <w:shd w:val="clear" w:color="auto" w:fill="FFFFFF"/>
        </w:rPr>
        <w:t xml:space="preserve">», следовало 7,2 часа;  </w:t>
      </w:r>
    </w:p>
    <w:p w:rsidR="00163A87" w:rsidRPr="00163A87" w:rsidRDefault="00163A87" w:rsidP="00163A87">
      <w:pPr>
        <w:spacing w:after="0" w:line="360" w:lineRule="atLeast"/>
        <w:ind w:firstLine="709"/>
        <w:jc w:val="both"/>
        <w:rPr>
          <w:rFonts w:ascii="Times New Roman" w:eastAsia="Times New Roman" w:hAnsi="Times New Roman" w:cs="Times New Roman"/>
          <w:color w:val="000000"/>
          <w:sz w:val="28"/>
          <w:szCs w:val="28"/>
          <w:shd w:val="clear" w:color="auto" w:fill="FFFFFF"/>
        </w:rPr>
      </w:pPr>
      <w:r w:rsidRPr="00163A87">
        <w:rPr>
          <w:rFonts w:ascii="Times New Roman" w:eastAsia="Times New Roman" w:hAnsi="Times New Roman" w:cs="Times New Roman"/>
          <w:color w:val="000000"/>
          <w:sz w:val="28"/>
          <w:szCs w:val="28"/>
          <w:shd w:val="clear" w:color="auto" w:fill="FFFFFF"/>
        </w:rPr>
        <w:t>нарушения при оформлении первичных учетных документов</w:t>
      </w:r>
      <w:r w:rsidR="00D321B9">
        <w:rPr>
          <w:rFonts w:ascii="Times New Roman" w:eastAsia="Times New Roman" w:hAnsi="Times New Roman" w:cs="Times New Roman"/>
          <w:color w:val="000000"/>
          <w:sz w:val="28"/>
          <w:szCs w:val="28"/>
          <w:shd w:val="clear" w:color="auto" w:fill="FFFFFF"/>
        </w:rPr>
        <w:t xml:space="preserve">                      </w:t>
      </w:r>
      <w:r w:rsidRPr="00163A87">
        <w:rPr>
          <w:rFonts w:ascii="Times New Roman" w:eastAsia="Times New Roman" w:hAnsi="Times New Roman" w:cs="Times New Roman"/>
          <w:color w:val="000000"/>
          <w:sz w:val="28"/>
          <w:szCs w:val="28"/>
          <w:shd w:val="clear" w:color="auto" w:fill="FFFFFF"/>
        </w:rPr>
        <w:t xml:space="preserve"> (7 случаев);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color w:val="000000"/>
          <w:sz w:val="28"/>
          <w:szCs w:val="28"/>
          <w:shd w:val="clear" w:color="auto" w:fill="FFFFFF"/>
        </w:rPr>
        <w:t>неверный расчет заработной платы в тарификационном списке по педагогическим работникам в рамках федерального проекта</w:t>
      </w:r>
      <w:r w:rsidRPr="00163A87">
        <w:rPr>
          <w:rFonts w:ascii="Times New Roman" w:eastAsia="Times New Roman" w:hAnsi="Times New Roman" w:cs="Times New Roman"/>
          <w:sz w:val="28"/>
          <w:szCs w:val="28"/>
        </w:rPr>
        <w:t xml:space="preserve"> «Успех каждого ребенка» с 01.09.2023;</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ошибочное перечисление заработной платы одного работника на карту другого работника в сумме 19,6</w:t>
      </w:r>
      <w:r w:rsidR="00E779D5">
        <w:rPr>
          <w:rFonts w:ascii="Times New Roman" w:eastAsia="Times New Roman" w:hAnsi="Times New Roman" w:cs="Times New Roman"/>
          <w:sz w:val="28"/>
          <w:szCs w:val="28"/>
        </w:rPr>
        <w:t xml:space="preserve"> </w:t>
      </w:r>
      <w:proofErr w:type="spellStart"/>
      <w:r w:rsidRPr="00163A87">
        <w:rPr>
          <w:rFonts w:ascii="Times New Roman" w:eastAsia="Times New Roman" w:hAnsi="Times New Roman" w:cs="Times New Roman"/>
          <w:sz w:val="28"/>
          <w:szCs w:val="28"/>
        </w:rPr>
        <w:t>тыс</w:t>
      </w:r>
      <w:proofErr w:type="gramStart"/>
      <w:r w:rsidRPr="00163A87">
        <w:rPr>
          <w:rFonts w:ascii="Times New Roman" w:eastAsia="Times New Roman" w:hAnsi="Times New Roman" w:cs="Times New Roman"/>
          <w:sz w:val="28"/>
          <w:szCs w:val="28"/>
        </w:rPr>
        <w:t>.р</w:t>
      </w:r>
      <w:proofErr w:type="gramEnd"/>
      <w:r w:rsidRPr="00163A87">
        <w:rPr>
          <w:rFonts w:ascii="Times New Roman" w:eastAsia="Times New Roman" w:hAnsi="Times New Roman" w:cs="Times New Roman"/>
          <w:sz w:val="28"/>
          <w:szCs w:val="28"/>
        </w:rPr>
        <w:t>ублей</w:t>
      </w:r>
      <w:proofErr w:type="spellEnd"/>
      <w:r w:rsidRPr="00163A87">
        <w:rPr>
          <w:rFonts w:ascii="Times New Roman" w:eastAsia="Times New Roman" w:hAnsi="Times New Roman" w:cs="Times New Roman"/>
          <w:sz w:val="28"/>
          <w:szCs w:val="28"/>
        </w:rPr>
        <w:t>;</w:t>
      </w:r>
    </w:p>
    <w:p w:rsidR="00163A87" w:rsidRPr="00163A87" w:rsidRDefault="00163A87" w:rsidP="00163A87">
      <w:pPr>
        <w:spacing w:after="0" w:line="360" w:lineRule="atLeast"/>
        <w:ind w:firstLine="709"/>
        <w:jc w:val="both"/>
        <w:rPr>
          <w:rFonts w:ascii="Times New Roman" w:eastAsia="Times New Roman" w:hAnsi="Times New Roman" w:cs="Times New Roman"/>
          <w:b/>
          <w:bCs/>
          <w:sz w:val="28"/>
          <w:szCs w:val="28"/>
        </w:rPr>
      </w:pPr>
      <w:r w:rsidRPr="00163A87">
        <w:rPr>
          <w:rFonts w:ascii="Times New Roman" w:eastAsia="Times New Roman" w:hAnsi="Times New Roman" w:cs="Times New Roman"/>
          <w:sz w:val="28"/>
          <w:szCs w:val="28"/>
        </w:rPr>
        <w:t>неучтенные в бухгалтерском учете основные средства и товарно-материальные ценности в количестве 11 единиц.</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По результатам проверки Контрольно-счетной палатой, с целью устранения выявленных нарушений и недостатков, директору Учреждения было направлено </w:t>
      </w:r>
      <w:r w:rsidRPr="00163A87">
        <w:rPr>
          <w:rFonts w:ascii="Times New Roman" w:eastAsia="Times New Roman" w:hAnsi="Times New Roman" w:cs="Times New Roman"/>
          <w:bCs/>
          <w:sz w:val="28"/>
          <w:szCs w:val="28"/>
        </w:rPr>
        <w:t>представление</w:t>
      </w:r>
      <w:r w:rsidRPr="00163A87">
        <w:rPr>
          <w:rFonts w:ascii="Times New Roman" w:eastAsia="Times New Roman" w:hAnsi="Times New Roman" w:cs="Times New Roman"/>
          <w:sz w:val="28"/>
          <w:szCs w:val="28"/>
        </w:rPr>
        <w:t xml:space="preserve">.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lastRenderedPageBreak/>
        <w:t>Для дачи правовой оценки отчет о результатах проверки направлен в прокуратуру Демянского района.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Директором МАУДО «Центр детского творчества» в Контрольно-счетную палату представлена информация по устранению выявленных нарушений.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2. </w:t>
      </w:r>
      <w:proofErr w:type="gramStart"/>
      <w:r w:rsidRPr="00163A87">
        <w:rPr>
          <w:rFonts w:ascii="Times New Roman" w:eastAsia="Times New Roman" w:hAnsi="Times New Roman" w:cs="Times New Roman"/>
          <w:sz w:val="28"/>
          <w:szCs w:val="28"/>
          <w:lang w:eastAsia="ru-RU"/>
        </w:rPr>
        <w:t>По предложению Счетной палаты Новгородской области в отчетном году Контрольно-счетной палатой проведено совместное контрольное мероприятие «Проверка законности использования средств, направленных из областного бюджета в бюджет Демянского</w:t>
      </w:r>
      <w:r w:rsidRPr="00163A87">
        <w:rPr>
          <w:rFonts w:ascii="Times New Roman" w:eastAsia="Times New Roman" w:hAnsi="Times New Roman" w:cs="Times New Roman"/>
          <w:color w:val="FF0000"/>
          <w:sz w:val="28"/>
          <w:szCs w:val="28"/>
          <w:lang w:eastAsia="ru-RU"/>
        </w:rPr>
        <w:t xml:space="preserve"> </w:t>
      </w:r>
      <w:r w:rsidRPr="00163A87">
        <w:rPr>
          <w:rFonts w:ascii="Times New Roman" w:eastAsia="Times New Roman" w:hAnsi="Times New Roman" w:cs="Times New Roman"/>
          <w:sz w:val="28"/>
          <w:szCs w:val="28"/>
          <w:lang w:eastAsia="ru-RU"/>
        </w:rPr>
        <w:t>муниципального округа (района)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 за 2023 год и восемь месяцев 2024 года.</w:t>
      </w:r>
      <w:proofErr w:type="gramEnd"/>
      <w:r w:rsidRPr="00163A87">
        <w:rPr>
          <w:rFonts w:ascii="Times New Roman" w:eastAsia="Times New Roman" w:hAnsi="Times New Roman" w:cs="Times New Roman"/>
          <w:sz w:val="28"/>
          <w:szCs w:val="28"/>
          <w:lang w:eastAsia="ru-RU"/>
        </w:rPr>
        <w:t xml:space="preserve">  Объект </w:t>
      </w:r>
      <w:proofErr w:type="gramStart"/>
      <w:r w:rsidRPr="00163A87">
        <w:rPr>
          <w:rFonts w:ascii="Times New Roman" w:eastAsia="Times New Roman" w:hAnsi="Times New Roman" w:cs="Times New Roman"/>
          <w:sz w:val="28"/>
          <w:szCs w:val="28"/>
          <w:lang w:eastAsia="ru-RU"/>
        </w:rPr>
        <w:t>проверки-Администрация</w:t>
      </w:r>
      <w:proofErr w:type="gramEnd"/>
      <w:r w:rsidRPr="00163A87">
        <w:rPr>
          <w:rFonts w:ascii="Times New Roman" w:eastAsia="Times New Roman" w:hAnsi="Times New Roman" w:cs="Times New Roman"/>
          <w:sz w:val="28"/>
          <w:szCs w:val="28"/>
          <w:lang w:eastAsia="ru-RU"/>
        </w:rPr>
        <w:t xml:space="preserve"> Демянского муниципального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Объем проверенных средств по контрольному мероприятию составил 3338,6</w:t>
      </w:r>
      <w:r w:rsidR="00D321B9">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тыс</w:t>
      </w:r>
      <w:proofErr w:type="gramStart"/>
      <w:r w:rsidRPr="00163A87">
        <w:rPr>
          <w:rFonts w:ascii="Times New Roman" w:eastAsia="Times New Roman" w:hAnsi="Times New Roman" w:cs="Times New Roman"/>
          <w:sz w:val="28"/>
          <w:szCs w:val="28"/>
          <w:lang w:eastAsia="ru-RU"/>
        </w:rPr>
        <w:t>.р</w:t>
      </w:r>
      <w:proofErr w:type="gramEnd"/>
      <w:r w:rsidRPr="00163A87">
        <w:rPr>
          <w:rFonts w:ascii="Times New Roman" w:eastAsia="Times New Roman" w:hAnsi="Times New Roman" w:cs="Times New Roman"/>
          <w:sz w:val="28"/>
          <w:szCs w:val="28"/>
          <w:lang w:eastAsia="ru-RU"/>
        </w:rPr>
        <w:t>ублей</w:t>
      </w:r>
      <w:proofErr w:type="spellEnd"/>
      <w:r w:rsidRPr="00163A87">
        <w:rPr>
          <w:rFonts w:ascii="Times New Roman" w:eastAsia="Times New Roman" w:hAnsi="Times New Roman" w:cs="Times New Roman"/>
          <w:sz w:val="28"/>
          <w:szCs w:val="28"/>
          <w:lang w:eastAsia="ru-RU"/>
        </w:rPr>
        <w:t xml:space="preserve">.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proofErr w:type="gramStart"/>
      <w:r w:rsidRPr="00163A87">
        <w:rPr>
          <w:rFonts w:ascii="Times New Roman" w:eastAsia="Times New Roman" w:hAnsi="Times New Roman" w:cs="Times New Roman"/>
          <w:sz w:val="28"/>
          <w:szCs w:val="28"/>
          <w:lang w:eastAsia="ru-RU"/>
        </w:rPr>
        <w:t>По результатам проведенного анализа нормативных правовых актов и иных документов, регулирующих вопросы предоставления «Субсидий юридическим лицам и индивидуальным предпринимателям на возмещение затрат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w:t>
      </w:r>
      <w:proofErr w:type="gramEnd"/>
      <w:r w:rsidRPr="00163A87">
        <w:rPr>
          <w:rFonts w:ascii="Times New Roman" w:eastAsia="Times New Roman" w:hAnsi="Times New Roman" w:cs="Times New Roman"/>
          <w:sz w:val="28"/>
          <w:szCs w:val="28"/>
          <w:lang w:eastAsia="ru-RU"/>
        </w:rPr>
        <w:t xml:space="preserve"> действия специальной военной операции, проживающих в жилых помещениях с печным отоплением» нарушений не установлено.</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При проверке соблюдения порядка обеспечения твердым топливом (дровами) семей участников СВО контрольной группой сплошным методом проверены заявления и документы от заявителей, являющихся членами семей участников СВО:</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за 2022 год - 46 единиц;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за 2023 год - 69 единиц;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за 2024 год - 82 единиц.</w:t>
      </w:r>
    </w:p>
    <w:p w:rsidR="00163A87" w:rsidRPr="00163A87" w:rsidRDefault="00D321B9" w:rsidP="00163A87">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w:t>
      </w:r>
      <w:r w:rsidR="00163A87" w:rsidRPr="00163A87">
        <w:rPr>
          <w:rFonts w:ascii="Times New Roman" w:eastAsia="Times New Roman" w:hAnsi="Times New Roman" w:cs="Times New Roman"/>
          <w:sz w:val="28"/>
          <w:szCs w:val="28"/>
          <w:lang w:eastAsia="ru-RU"/>
        </w:rPr>
        <w:t>проверки установлены незначительные недостатки, которые в ходе проверки устранены.</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3. В 2024 году Контрольно-счетной палатой проведено контрольное мероприятие по проверке «Полноты и своевременности поступления платы за наем жилых помещений, предоставляемых по договорам социального найма жилищного фонда Демянского муниципального округа за 2023 год и девять месяцев 2024 года».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Общая сумма проверенных средств составила 616,8</w:t>
      </w:r>
      <w:r w:rsidR="00D321B9">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тыс</w:t>
      </w:r>
      <w:proofErr w:type="gramStart"/>
      <w:r w:rsidRPr="00163A87">
        <w:rPr>
          <w:rFonts w:ascii="Times New Roman" w:eastAsia="Times New Roman" w:hAnsi="Times New Roman" w:cs="Times New Roman"/>
          <w:sz w:val="28"/>
          <w:szCs w:val="28"/>
          <w:lang w:eastAsia="ru-RU"/>
        </w:rPr>
        <w:t>.р</w:t>
      </w:r>
      <w:proofErr w:type="gramEnd"/>
      <w:r w:rsidRPr="00163A87">
        <w:rPr>
          <w:rFonts w:ascii="Times New Roman" w:eastAsia="Times New Roman" w:hAnsi="Times New Roman" w:cs="Times New Roman"/>
          <w:sz w:val="28"/>
          <w:szCs w:val="28"/>
          <w:lang w:eastAsia="ru-RU"/>
        </w:rPr>
        <w:t>ублей</w:t>
      </w:r>
      <w:proofErr w:type="spellEnd"/>
      <w:r w:rsidRPr="00163A87">
        <w:rPr>
          <w:rFonts w:ascii="Times New Roman" w:eastAsia="Times New Roman" w:hAnsi="Times New Roman" w:cs="Times New Roman"/>
          <w:sz w:val="28"/>
          <w:szCs w:val="28"/>
          <w:lang w:eastAsia="ru-RU"/>
        </w:rPr>
        <w:t>.</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lastRenderedPageBreak/>
        <w:t>В ходе контрольных действий установлены многочисленные нарушения и недостатки: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отсутствует Порядок, регламентирующий функции и обеспечение взаимодействия отраслевых (функциональных) органов Администрации округа по начислению, сбору, взысканию платы за наем и доставки квитанций нанимателям жилых помещений;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не разработаны и не утверждены: «Порядок учета граждан в качестве нуждающихся в жилых помещениях, предоставляемых по договорам социального найма»; «Порядок предоставления малоимущим гражданам по договорам социального найма жилых помещений муниципального жилищного фонда»;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не заключены договоры социального найма по 77 нанимателям жилых помещений;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не перезаключаются договоры социального найма после смерти нанимателей муниципального жилья (3 случая);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несоответствие площади муниципального жилья, учитываемой при расчете платы за наем, площади, обозначенной в договоре социального найма и в перечне муниципального жилищного фонда (36 случаев);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начисление платы за наем муниципального жилья производилось с неверным применением коэффициентов (степени благоустройства муниципального жилья, периода эксплуатации дома, материала стен жилого помещения) (69 случаев);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отсутствие начислений платы за наем по договорам социального найма (2 случая);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отсутствие начисление платы за наем, при фактическом проживании без заключения договора социального найма (2 случая);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proofErr w:type="spellStart"/>
      <w:r w:rsidRPr="00163A87">
        <w:rPr>
          <w:rFonts w:ascii="Times New Roman" w:eastAsia="Times New Roman" w:hAnsi="Times New Roman" w:cs="Times New Roman"/>
          <w:sz w:val="28"/>
          <w:szCs w:val="28"/>
          <w:lang w:eastAsia="ru-RU"/>
        </w:rPr>
        <w:t>претензионно</w:t>
      </w:r>
      <w:proofErr w:type="spellEnd"/>
      <w:r w:rsidRPr="00163A87">
        <w:rPr>
          <w:rFonts w:ascii="Times New Roman" w:eastAsia="Times New Roman" w:hAnsi="Times New Roman" w:cs="Times New Roman"/>
          <w:sz w:val="28"/>
          <w:szCs w:val="28"/>
          <w:lang w:eastAsia="ru-RU"/>
        </w:rPr>
        <w:t>-исковая работа по взысканию дебиторской заложенности в 2024 году не проводилась;</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отсутствие журнала регистрации договоров социального найма.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4. По предложению Администрации Де</w:t>
      </w:r>
      <w:r w:rsidR="00D321B9">
        <w:rPr>
          <w:rFonts w:ascii="Times New Roman" w:eastAsia="Times New Roman" w:hAnsi="Times New Roman" w:cs="Times New Roman"/>
          <w:sz w:val="28"/>
          <w:szCs w:val="28"/>
          <w:lang w:eastAsia="ru-RU"/>
        </w:rPr>
        <w:t xml:space="preserve">мянского муниципального района </w:t>
      </w:r>
      <w:r w:rsidRPr="00163A87">
        <w:rPr>
          <w:rFonts w:ascii="Times New Roman" w:eastAsia="Times New Roman" w:hAnsi="Times New Roman" w:cs="Times New Roman"/>
          <w:sz w:val="28"/>
          <w:szCs w:val="28"/>
          <w:lang w:eastAsia="ru-RU"/>
        </w:rPr>
        <w:t>Контрольно-счетной палатой в 2024 году проведено контрольное мероприятие по проверке «Начисления и выплаты заработной платы, правомерности применяемых выплат стимулирующего и компенсационного характера работникам муниципального автономного дошкольного образовательного учреждения «Детский сад «Родничок» за 2023 год».</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По результатам анализа штатного расписания, контрольной группой установлено, что должностные оклады и надбавки специалистов, а также профессий рабочих Учреждения определены с учетом:</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приказа Министерства здравоохранения и социального развития Российской Федерации от 05.05.2008 №</w:t>
      </w:r>
      <w:r w:rsidR="00D321B9">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eastAsia="ru-RU"/>
        </w:rPr>
        <w:t xml:space="preserve">216н «Об утверждении </w:t>
      </w:r>
      <w:r w:rsidRPr="00163A87">
        <w:rPr>
          <w:rFonts w:ascii="Times New Roman" w:eastAsia="Times New Roman" w:hAnsi="Times New Roman" w:cs="Times New Roman"/>
          <w:sz w:val="28"/>
          <w:szCs w:val="28"/>
          <w:lang w:eastAsia="ru-RU"/>
        </w:rPr>
        <w:lastRenderedPageBreak/>
        <w:t>профессиональных квалификационных групп должностей работников образования»;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приказа Министерства здравоохранения и социального развития Российской Федерации от 29.05.2008 №</w:t>
      </w:r>
      <w:r w:rsidR="00D321B9">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eastAsia="ru-RU"/>
        </w:rPr>
        <w:t>247н «Об утверждении профессиональных квалификационных групп общеотраслевых должностей руководителей, специалистов и служащих»;</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приказа Министерства здравоохранения и социального развития Российской Федерации от 29.05.2008 №</w:t>
      </w:r>
      <w:r w:rsidR="00D321B9">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eastAsia="ru-RU"/>
        </w:rPr>
        <w:t xml:space="preserve">248н «Об утверждении </w:t>
      </w:r>
      <w:proofErr w:type="spellStart"/>
      <w:proofErr w:type="gramStart"/>
      <w:r w:rsidRPr="00163A87">
        <w:rPr>
          <w:rFonts w:ascii="Times New Roman" w:eastAsia="Times New Roman" w:hAnsi="Times New Roman" w:cs="Times New Roman"/>
          <w:sz w:val="28"/>
          <w:szCs w:val="28"/>
          <w:lang w:eastAsia="ru-RU"/>
        </w:rPr>
        <w:t>профес</w:t>
      </w:r>
      <w:r w:rsidR="00D321B9">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сиональных</w:t>
      </w:r>
      <w:proofErr w:type="spellEnd"/>
      <w:proofErr w:type="gramEnd"/>
      <w:r w:rsidRPr="00163A87">
        <w:rPr>
          <w:rFonts w:ascii="Times New Roman" w:eastAsia="Times New Roman" w:hAnsi="Times New Roman" w:cs="Times New Roman"/>
          <w:sz w:val="28"/>
          <w:szCs w:val="28"/>
          <w:lang w:eastAsia="ru-RU"/>
        </w:rPr>
        <w:t xml:space="preserve"> квалификационных групп общеотраслевых профессий рабочих».</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Начисление заработной платы работникам Учреждения в проверяемом периоде производилось в соответствии с тарификационными списками.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Тарификационные списки в проверяемом периоде составлены в соответствии с Положением об оплате труда работников Учреждения.                    Размеры должностных окладов работников, определенные </w:t>
      </w:r>
      <w:proofErr w:type="spellStart"/>
      <w:proofErr w:type="gramStart"/>
      <w:r w:rsidRPr="00163A87">
        <w:rPr>
          <w:rFonts w:ascii="Times New Roman" w:eastAsia="Times New Roman" w:hAnsi="Times New Roman" w:cs="Times New Roman"/>
          <w:sz w:val="28"/>
          <w:szCs w:val="28"/>
          <w:lang w:eastAsia="ru-RU"/>
        </w:rPr>
        <w:t>тарифика</w:t>
      </w:r>
      <w:r w:rsidR="00D321B9">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ционными</w:t>
      </w:r>
      <w:proofErr w:type="spellEnd"/>
      <w:proofErr w:type="gramEnd"/>
      <w:r w:rsidRPr="00163A87">
        <w:rPr>
          <w:rFonts w:ascii="Times New Roman" w:eastAsia="Times New Roman" w:hAnsi="Times New Roman" w:cs="Times New Roman"/>
          <w:sz w:val="28"/>
          <w:szCs w:val="28"/>
          <w:lang w:eastAsia="ru-RU"/>
        </w:rPr>
        <w:t xml:space="preserve"> списками, установлены в зависимости от нормы рабочих часов и фактической нагрузки в соответствии с Единым тарифно-квалификационным справочником работ и профессий.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Размеры должностных окладов работников, определенные штатным расписанием, установлены на основе отнесения занимаемых ими должностей к профессионально-квалификационным группам.</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Контрольной группой проверена правильность удержания налога на доходы физических лиц работников Учреждения за 2023 год. Нарушений не установлено.</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Премиальные выплаты по итогам работы начислялись согласно приказам заведующе</w:t>
      </w:r>
      <w:r w:rsidR="00D321B9">
        <w:rPr>
          <w:rFonts w:ascii="Times New Roman" w:eastAsia="Times New Roman" w:hAnsi="Times New Roman" w:cs="Times New Roman"/>
          <w:sz w:val="28"/>
          <w:szCs w:val="28"/>
        </w:rPr>
        <w:t xml:space="preserve">й Учреждением, руководствуясь пунктом </w:t>
      </w:r>
      <w:r w:rsidRPr="00163A87">
        <w:rPr>
          <w:rFonts w:ascii="Times New Roman" w:eastAsia="Times New Roman" w:hAnsi="Times New Roman" w:cs="Times New Roman"/>
          <w:sz w:val="28"/>
          <w:szCs w:val="28"/>
        </w:rPr>
        <w:t>3.7.5 Положения об оплате труда, по решению комиссии по вопросам оплаты труда работников, созданной в Учреждении.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Начисления отпускных работникам Учреждения в проверяемый период произведено на основании приказов заведующей Учреждением и в соответствии с Положением об особенностях порядка исчисления средней заработной платы, утвержденным постановлением Правительства </w:t>
      </w:r>
      <w:r w:rsidR="00D321B9" w:rsidRPr="00163A87">
        <w:rPr>
          <w:rFonts w:ascii="Times New Roman" w:eastAsia="Times New Roman" w:hAnsi="Times New Roman" w:cs="Times New Roman"/>
          <w:color w:val="000000"/>
          <w:sz w:val="28"/>
          <w:szCs w:val="28"/>
          <w:lang w:eastAsia="ru-RU"/>
        </w:rPr>
        <w:t>Р</w:t>
      </w:r>
      <w:r w:rsidR="00D321B9">
        <w:rPr>
          <w:rFonts w:ascii="Times New Roman" w:eastAsia="Times New Roman" w:hAnsi="Times New Roman" w:cs="Times New Roman"/>
          <w:color w:val="000000"/>
          <w:sz w:val="28"/>
          <w:szCs w:val="28"/>
          <w:lang w:eastAsia="ru-RU"/>
        </w:rPr>
        <w:t xml:space="preserve">оссийской </w:t>
      </w:r>
      <w:r w:rsidR="00D321B9" w:rsidRPr="00163A87">
        <w:rPr>
          <w:rFonts w:ascii="Times New Roman" w:eastAsia="Times New Roman" w:hAnsi="Times New Roman" w:cs="Times New Roman"/>
          <w:color w:val="000000"/>
          <w:sz w:val="28"/>
          <w:szCs w:val="28"/>
          <w:lang w:eastAsia="ru-RU"/>
        </w:rPr>
        <w:t>Ф</w:t>
      </w:r>
      <w:r w:rsidR="00D321B9">
        <w:rPr>
          <w:rFonts w:ascii="Times New Roman" w:eastAsia="Times New Roman" w:hAnsi="Times New Roman" w:cs="Times New Roman"/>
          <w:color w:val="000000"/>
          <w:sz w:val="28"/>
          <w:szCs w:val="28"/>
          <w:lang w:eastAsia="ru-RU"/>
        </w:rPr>
        <w:t>едерации</w:t>
      </w:r>
      <w:r w:rsidRPr="00163A87">
        <w:rPr>
          <w:rFonts w:ascii="Times New Roman" w:eastAsia="Times New Roman" w:hAnsi="Times New Roman" w:cs="Times New Roman"/>
          <w:sz w:val="28"/>
          <w:szCs w:val="28"/>
        </w:rPr>
        <w:t xml:space="preserve"> от 24.12.2007 № 922. Нарушений не установлено.</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При проведении контрольного мероприятия переплат и недоплат работникам Учреждения за 2023 год не установлено.</w:t>
      </w:r>
    </w:p>
    <w:p w:rsidR="00163A87" w:rsidRPr="00163A87" w:rsidRDefault="00163A87" w:rsidP="00163A87">
      <w:pPr>
        <w:tabs>
          <w:tab w:val="left" w:pos="709"/>
        </w:tabs>
        <w:spacing w:after="0" w:line="360" w:lineRule="atLeast"/>
        <w:ind w:firstLine="709"/>
        <w:jc w:val="both"/>
        <w:rPr>
          <w:rFonts w:ascii="Times New Roman" w:eastAsia="Times New Roman" w:hAnsi="Times New Roman" w:cs="Times New Roman"/>
          <w:sz w:val="28"/>
          <w:szCs w:val="28"/>
          <w:lang w:eastAsia="ru-RU"/>
        </w:rPr>
      </w:pPr>
    </w:p>
    <w:p w:rsidR="00163A87" w:rsidRPr="00163A87" w:rsidRDefault="00163A87" w:rsidP="00D321B9">
      <w:pPr>
        <w:spacing w:after="0" w:line="240" w:lineRule="exact"/>
        <w:jc w:val="center"/>
        <w:rPr>
          <w:rFonts w:ascii="Times New Roman" w:eastAsia="Times New Roman" w:hAnsi="Times New Roman" w:cs="Times New Roman"/>
          <w:b/>
          <w:bCs/>
          <w:sz w:val="28"/>
          <w:szCs w:val="28"/>
        </w:rPr>
      </w:pPr>
      <w:r w:rsidRPr="00163A87">
        <w:rPr>
          <w:rFonts w:ascii="Times New Roman" w:eastAsia="Times New Roman" w:hAnsi="Times New Roman" w:cs="Times New Roman"/>
          <w:b/>
          <w:bCs/>
          <w:sz w:val="28"/>
          <w:szCs w:val="28"/>
        </w:rPr>
        <w:t>4.</w:t>
      </w:r>
      <w:r w:rsidR="00D321B9">
        <w:rPr>
          <w:rFonts w:ascii="Times New Roman" w:eastAsia="Times New Roman" w:hAnsi="Times New Roman" w:cs="Times New Roman"/>
          <w:b/>
          <w:bCs/>
          <w:sz w:val="28"/>
          <w:szCs w:val="28"/>
        </w:rPr>
        <w:t xml:space="preserve"> </w:t>
      </w:r>
      <w:r w:rsidRPr="00163A87">
        <w:rPr>
          <w:rFonts w:ascii="Times New Roman" w:eastAsia="Times New Roman" w:hAnsi="Times New Roman" w:cs="Times New Roman"/>
          <w:b/>
          <w:bCs/>
          <w:sz w:val="28"/>
          <w:szCs w:val="28"/>
        </w:rPr>
        <w:t>Другие вопросы деятельности Контрольно-счетной палаты</w:t>
      </w:r>
    </w:p>
    <w:p w:rsidR="00163A87" w:rsidRPr="00163A87" w:rsidRDefault="00163A87" w:rsidP="00163A87">
      <w:pPr>
        <w:spacing w:after="0" w:line="360" w:lineRule="atLeast"/>
        <w:ind w:firstLine="709"/>
        <w:jc w:val="both"/>
        <w:rPr>
          <w:rFonts w:ascii="Times New Roman" w:eastAsia="Times New Roman" w:hAnsi="Times New Roman" w:cs="Times New Roman"/>
          <w:b/>
          <w:bCs/>
          <w:sz w:val="28"/>
          <w:szCs w:val="28"/>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2024 году Контрольно-счетная палата принимала участие в совместном заседании Президиума Совета контрольно-счетных органов при Счетной палате Новгородской области и Совета контрольно-счетных органов при Счетной палате Новгородской области.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lastRenderedPageBreak/>
        <w:t>Контрольно-счетная палата в режиме видеоконференцсвязи, принимала участие в обучающих мероприятиях Союза муниципальных контрольно-счетных органов.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 xml:space="preserve">В течение всего 2024 года председатель Контрольно-счетной палаты принимал участие на заседаниях Думы Демянского муниципального округа, а также ежеквартально на заседаниях комиссии по координации работы по противодействию коррупции при Администрации Демянского </w:t>
      </w:r>
      <w:proofErr w:type="spellStart"/>
      <w:proofErr w:type="gramStart"/>
      <w:r w:rsidRPr="00163A87">
        <w:rPr>
          <w:rFonts w:ascii="Times New Roman" w:eastAsia="Times New Roman" w:hAnsi="Times New Roman" w:cs="Times New Roman"/>
          <w:sz w:val="28"/>
          <w:szCs w:val="28"/>
        </w:rPr>
        <w:t>муници</w:t>
      </w:r>
      <w:r w:rsidR="00D321B9">
        <w:rPr>
          <w:rFonts w:ascii="Times New Roman" w:eastAsia="Times New Roman" w:hAnsi="Times New Roman" w:cs="Times New Roman"/>
          <w:sz w:val="28"/>
          <w:szCs w:val="28"/>
        </w:rPr>
        <w:t>-</w:t>
      </w:r>
      <w:r w:rsidRPr="00163A87">
        <w:rPr>
          <w:rFonts w:ascii="Times New Roman" w:eastAsia="Times New Roman" w:hAnsi="Times New Roman" w:cs="Times New Roman"/>
          <w:sz w:val="28"/>
          <w:szCs w:val="28"/>
        </w:rPr>
        <w:t>пального</w:t>
      </w:r>
      <w:proofErr w:type="spellEnd"/>
      <w:proofErr w:type="gramEnd"/>
      <w:r w:rsidRPr="00163A87">
        <w:rPr>
          <w:rFonts w:ascii="Times New Roman" w:eastAsia="Times New Roman" w:hAnsi="Times New Roman" w:cs="Times New Roman"/>
          <w:sz w:val="28"/>
          <w:szCs w:val="28"/>
        </w:rPr>
        <w:t xml:space="preserve">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shd w:val="clear" w:color="auto" w:fill="FFFFFF"/>
        </w:rPr>
      </w:pPr>
      <w:r w:rsidRPr="00163A87">
        <w:rPr>
          <w:rFonts w:ascii="Times New Roman" w:eastAsia="Times New Roman" w:hAnsi="Times New Roman" w:cs="Times New Roman"/>
          <w:sz w:val="28"/>
          <w:szCs w:val="28"/>
        </w:rPr>
        <w:t>В соответствии с антикоррупционным законодательством в 2024 году председателем и аудитором Контрольно-счетной палаты были представлены в отдел Администрации Губернатора Новгородской области «По профилактике коррупционных и иных нарушений»</w:t>
      </w:r>
      <w:r w:rsidRPr="00163A87">
        <w:rPr>
          <w:rFonts w:ascii="Times New Roman" w:eastAsia="Times New Roman" w:hAnsi="Times New Roman" w:cs="Times New Roman"/>
          <w:color w:val="FF0000"/>
          <w:sz w:val="28"/>
          <w:szCs w:val="28"/>
        </w:rPr>
        <w:t xml:space="preserve"> </w:t>
      </w:r>
      <w:r w:rsidRPr="00163A87">
        <w:rPr>
          <w:rFonts w:ascii="Times New Roman" w:eastAsia="Times New Roman" w:hAnsi="Times New Roman" w:cs="Times New Roman"/>
          <w:sz w:val="28"/>
          <w:szCs w:val="28"/>
        </w:rPr>
        <w:t xml:space="preserve">справки </w:t>
      </w:r>
      <w:r w:rsidRPr="00163A87">
        <w:rPr>
          <w:rFonts w:ascii="Times New Roman" w:eastAsia="Times New Roman" w:hAnsi="Times New Roman" w:cs="Times New Roman"/>
          <w:color w:val="333333"/>
          <w:sz w:val="28"/>
          <w:szCs w:val="28"/>
          <w:shd w:val="clear" w:color="auto" w:fill="FFFFFF"/>
        </w:rPr>
        <w:t>«О</w:t>
      </w:r>
      <w:r w:rsidRPr="00163A87">
        <w:rPr>
          <w:rFonts w:ascii="Times New Roman" w:eastAsia="Times New Roman" w:hAnsi="Times New Roman" w:cs="Times New Roman"/>
          <w:sz w:val="28"/>
          <w:szCs w:val="28"/>
          <w:shd w:val="clear" w:color="auto" w:fill="FFFFFF"/>
        </w:rPr>
        <w:t> доходах, расходах, об имуществе и обязательствах имущественного характера лицами, замещающими муниципальные должности» за 2023 год.</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rPr>
      </w:pPr>
      <w:r w:rsidRPr="00163A87">
        <w:rPr>
          <w:rFonts w:ascii="Times New Roman" w:eastAsia="Times New Roman" w:hAnsi="Times New Roman" w:cs="Times New Roman"/>
          <w:sz w:val="28"/>
          <w:szCs w:val="28"/>
        </w:rPr>
        <w:t>В 2024 году должностными лицами Контрольно-счетной палаты протоколы об административных правонарушениях не оформлялись.</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shd w:val="clear" w:color="auto" w:fill="FFFFFF"/>
          <w:lang w:eastAsia="ru-RU"/>
        </w:rPr>
      </w:pPr>
      <w:r w:rsidRPr="00163A87">
        <w:rPr>
          <w:rFonts w:ascii="Times New Roman" w:eastAsia="Times New Roman" w:hAnsi="Times New Roman" w:cs="Times New Roman"/>
          <w:sz w:val="28"/>
          <w:szCs w:val="28"/>
          <w:lang w:eastAsia="ru-RU"/>
        </w:rPr>
        <w:t xml:space="preserve">В отчетном году аудитор Контрольно-счетной палаты проходил курсы повышения квалификации «Аудит в сфере закупок товаров, работ, услуг для обеспечения государственных и муниципальных нужд».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По решению Думы Демянского муниципального округа от 19.09.2023 №</w:t>
      </w:r>
      <w:r w:rsidR="00D321B9">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eastAsia="ru-RU"/>
        </w:rPr>
        <w:t xml:space="preserve">13 Контрольно-счетная палата Демянского муниципального района ликвидирована </w:t>
      </w:r>
      <w:r w:rsidRPr="00163A87">
        <w:rPr>
          <w:rFonts w:ascii="Times New Roman" w:eastAsia="Times New Roman" w:hAnsi="Times New Roman" w:cs="Times New Roman"/>
          <w:bCs/>
          <w:sz w:val="28"/>
          <w:szCs w:val="28"/>
          <w:lang w:eastAsia="ru-RU"/>
        </w:rPr>
        <w:t xml:space="preserve">без правопреемства прав и обязанностей юридического лица. </w:t>
      </w:r>
      <w:r w:rsidRPr="00163A87">
        <w:rPr>
          <w:rFonts w:ascii="Times New Roman" w:eastAsia="Times New Roman" w:hAnsi="Times New Roman" w:cs="Times New Roman"/>
          <w:sz w:val="28"/>
          <w:szCs w:val="28"/>
          <w:lang w:eastAsia="ru-RU"/>
        </w:rPr>
        <w:t>В связи с этим, Контрольно-счетной палатой Демянского муниципального округа в 2024 году разработаны и утверждены новые стандарты в количестве 21 единиц, из них 3 по организации деятельности Контрольно-счетной палаты и 18 по внешнему муниципальному финансовому контролю:</w:t>
      </w:r>
    </w:p>
    <w:p w:rsidR="00163A87" w:rsidRPr="00163A87" w:rsidRDefault="00D321B9" w:rsidP="00163A87">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СФК</w:t>
      </w:r>
      <w:r w:rsidR="00163A87" w:rsidRPr="00163A87">
        <w:rPr>
          <w:rFonts w:ascii="Times New Roman" w:eastAsia="Times New Roman" w:hAnsi="Times New Roman" w:cs="Times New Roman"/>
          <w:sz w:val="28"/>
          <w:szCs w:val="28"/>
          <w:lang w:eastAsia="ru-RU"/>
        </w:rPr>
        <w:t xml:space="preserve"> 01 «Общие правила проведения контрольного мероприятия»;</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02 «Общие правила проведения экспертно-аналитического мероприятия»;</w:t>
      </w:r>
    </w:p>
    <w:p w:rsidR="00163A87" w:rsidRPr="00163A87" w:rsidRDefault="00D321B9" w:rsidP="00163A87">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СФК </w:t>
      </w:r>
      <w:r w:rsidR="00163A87" w:rsidRPr="00163A87">
        <w:rPr>
          <w:rFonts w:ascii="Times New Roman" w:eastAsia="Times New Roman" w:hAnsi="Times New Roman" w:cs="Times New Roman"/>
          <w:sz w:val="28"/>
          <w:szCs w:val="28"/>
          <w:lang w:eastAsia="ru-RU"/>
        </w:rPr>
        <w:t>03 «Проведение аудита в сфере закупок товаров, работ и услуг»;</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04 «Порядок проведения внешней проверки годового отчета об исполнении бюджета Демянского муниципального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СФК 05 «Финансово-экономическая экспертиза проектов </w:t>
      </w:r>
      <w:proofErr w:type="spellStart"/>
      <w:proofErr w:type="gramStart"/>
      <w:r w:rsidRPr="00163A87">
        <w:rPr>
          <w:rFonts w:ascii="Times New Roman" w:eastAsia="Times New Roman" w:hAnsi="Times New Roman" w:cs="Times New Roman"/>
          <w:sz w:val="28"/>
          <w:szCs w:val="28"/>
          <w:lang w:eastAsia="ru-RU"/>
        </w:rPr>
        <w:t>муниципа</w:t>
      </w:r>
      <w:r w:rsidR="00D321B9">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льных</w:t>
      </w:r>
      <w:proofErr w:type="spellEnd"/>
      <w:proofErr w:type="gramEnd"/>
      <w:r w:rsidRPr="00163A87">
        <w:rPr>
          <w:rFonts w:ascii="Times New Roman" w:eastAsia="Times New Roman" w:hAnsi="Times New Roman" w:cs="Times New Roman"/>
          <w:sz w:val="28"/>
          <w:szCs w:val="28"/>
          <w:lang w:eastAsia="ru-RU"/>
        </w:rPr>
        <w:t xml:space="preserve"> программ Демянского муниципального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06 «Экспертиза проекта бюджета Демянского муниципального округа на очередной финансовый год и на плановый период»;</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07 «Взаимодействие Контрольно-счетной палаты Демянского муниципального округа со Счетной палатой Новгородской области при проведении совместных и параллельных контрольных и экспертно-аналитических мероприятий»;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lastRenderedPageBreak/>
        <w:t>СФК 08 «Участие в пределах полномочий в мероприятиях, направленных на противодействие коррупции»;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09 «Контроль реализации результатов контрольных и экспертно-аналитических мероприятий»;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СФК 10 «Оперативный анализ исполнения и </w:t>
      </w:r>
      <w:proofErr w:type="gramStart"/>
      <w:r w:rsidRPr="00163A87">
        <w:rPr>
          <w:rFonts w:ascii="Times New Roman" w:eastAsia="Times New Roman" w:hAnsi="Times New Roman" w:cs="Times New Roman"/>
          <w:sz w:val="28"/>
          <w:szCs w:val="28"/>
          <w:lang w:eastAsia="ru-RU"/>
        </w:rPr>
        <w:t>контроль за</w:t>
      </w:r>
      <w:proofErr w:type="gramEnd"/>
      <w:r w:rsidRPr="00163A87">
        <w:rPr>
          <w:rFonts w:ascii="Times New Roman" w:eastAsia="Times New Roman" w:hAnsi="Times New Roman" w:cs="Times New Roman"/>
          <w:sz w:val="28"/>
          <w:szCs w:val="28"/>
          <w:lang w:eastAsia="ru-RU"/>
        </w:rPr>
        <w:t xml:space="preserve"> организацией исполнения местного бюджета»;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СФК 11 «Взаимодействие Контрольно-счетной палаты Демянского муниципального округа с органами прокуратуры, иными </w:t>
      </w:r>
      <w:proofErr w:type="spellStart"/>
      <w:proofErr w:type="gramStart"/>
      <w:r w:rsidRPr="00163A87">
        <w:rPr>
          <w:rFonts w:ascii="Times New Roman" w:eastAsia="Times New Roman" w:hAnsi="Times New Roman" w:cs="Times New Roman"/>
          <w:sz w:val="28"/>
          <w:szCs w:val="28"/>
          <w:lang w:eastAsia="ru-RU"/>
        </w:rPr>
        <w:t>правоохраните</w:t>
      </w:r>
      <w:r w:rsidR="00D321B9">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льными</w:t>
      </w:r>
      <w:proofErr w:type="spellEnd"/>
      <w:proofErr w:type="gramEnd"/>
      <w:r w:rsidRPr="00163A87">
        <w:rPr>
          <w:rFonts w:ascii="Times New Roman" w:eastAsia="Times New Roman" w:hAnsi="Times New Roman" w:cs="Times New Roman"/>
          <w:sz w:val="28"/>
          <w:szCs w:val="28"/>
          <w:lang w:eastAsia="ru-RU"/>
        </w:rPr>
        <w:t>, надзорными и контрольными органами Российской Федерации»;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СФК 12 «Порядок осуществления анализа и мониторинга бюджетного процесса </w:t>
      </w:r>
      <w:proofErr w:type="gramStart"/>
      <w:r w:rsidRPr="00163A87">
        <w:rPr>
          <w:rFonts w:ascii="Times New Roman" w:eastAsia="Times New Roman" w:hAnsi="Times New Roman" w:cs="Times New Roman"/>
          <w:sz w:val="28"/>
          <w:szCs w:val="28"/>
          <w:lang w:eastAsia="ru-RU"/>
        </w:rPr>
        <w:t>в</w:t>
      </w:r>
      <w:proofErr w:type="gramEnd"/>
      <w:r w:rsidRPr="00163A87">
        <w:rPr>
          <w:rFonts w:ascii="Times New Roman" w:eastAsia="Times New Roman" w:hAnsi="Times New Roman" w:cs="Times New Roman"/>
          <w:sz w:val="28"/>
          <w:szCs w:val="28"/>
          <w:lang w:eastAsia="ru-RU"/>
        </w:rPr>
        <w:t xml:space="preserve"> </w:t>
      </w:r>
      <w:proofErr w:type="gramStart"/>
      <w:r w:rsidRPr="00163A87">
        <w:rPr>
          <w:rFonts w:ascii="Times New Roman" w:eastAsia="Times New Roman" w:hAnsi="Times New Roman" w:cs="Times New Roman"/>
          <w:sz w:val="28"/>
          <w:szCs w:val="28"/>
          <w:lang w:eastAsia="ru-RU"/>
        </w:rPr>
        <w:t>Демянском</w:t>
      </w:r>
      <w:proofErr w:type="gramEnd"/>
      <w:r w:rsidRPr="00163A87">
        <w:rPr>
          <w:rFonts w:ascii="Times New Roman" w:eastAsia="Times New Roman" w:hAnsi="Times New Roman" w:cs="Times New Roman"/>
          <w:sz w:val="28"/>
          <w:szCs w:val="28"/>
          <w:lang w:eastAsia="ru-RU"/>
        </w:rPr>
        <w:t xml:space="preserve"> муниципальном округе»;</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13 «Обеспечение контроля качества контрольной деятельности»;</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СФК 14 «Проведение аудита эффективности использования </w:t>
      </w:r>
      <w:proofErr w:type="spellStart"/>
      <w:proofErr w:type="gramStart"/>
      <w:r w:rsidRPr="00163A87">
        <w:rPr>
          <w:rFonts w:ascii="Times New Roman" w:eastAsia="Times New Roman" w:hAnsi="Times New Roman" w:cs="Times New Roman"/>
          <w:sz w:val="28"/>
          <w:szCs w:val="28"/>
          <w:lang w:eastAsia="ru-RU"/>
        </w:rPr>
        <w:t>муни</w:t>
      </w:r>
      <w:r w:rsidR="00D321B9">
        <w:rPr>
          <w:rFonts w:ascii="Times New Roman" w:eastAsia="Times New Roman" w:hAnsi="Times New Roman" w:cs="Times New Roman"/>
          <w:sz w:val="28"/>
          <w:szCs w:val="28"/>
          <w:lang w:eastAsia="ru-RU"/>
        </w:rPr>
        <w:t>-</w:t>
      </w:r>
      <w:r w:rsidRPr="00163A87">
        <w:rPr>
          <w:rFonts w:ascii="Times New Roman" w:eastAsia="Times New Roman" w:hAnsi="Times New Roman" w:cs="Times New Roman"/>
          <w:sz w:val="28"/>
          <w:szCs w:val="28"/>
          <w:lang w:eastAsia="ru-RU"/>
        </w:rPr>
        <w:t>ципальных</w:t>
      </w:r>
      <w:proofErr w:type="spellEnd"/>
      <w:proofErr w:type="gramEnd"/>
      <w:r w:rsidRPr="00163A87">
        <w:rPr>
          <w:rFonts w:ascii="Times New Roman" w:eastAsia="Times New Roman" w:hAnsi="Times New Roman" w:cs="Times New Roman"/>
          <w:sz w:val="28"/>
          <w:szCs w:val="28"/>
          <w:lang w:eastAsia="ru-RU"/>
        </w:rPr>
        <w:t xml:space="preserve"> средств»; </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СФК 15 «Осуществление </w:t>
      </w:r>
      <w:proofErr w:type="gramStart"/>
      <w:r w:rsidRPr="00163A87">
        <w:rPr>
          <w:rFonts w:ascii="Times New Roman" w:eastAsia="Times New Roman" w:hAnsi="Times New Roman" w:cs="Times New Roman"/>
          <w:sz w:val="28"/>
          <w:szCs w:val="28"/>
          <w:lang w:eastAsia="ru-RU"/>
        </w:rPr>
        <w:t>контроля за</w:t>
      </w:r>
      <w:proofErr w:type="gramEnd"/>
      <w:r w:rsidRPr="00163A87">
        <w:rPr>
          <w:rFonts w:ascii="Times New Roman" w:eastAsia="Times New Roman" w:hAnsi="Times New Roman" w:cs="Times New Roman"/>
          <w:sz w:val="28"/>
          <w:szCs w:val="28"/>
          <w:lang w:eastAsia="ru-RU"/>
        </w:rPr>
        <w:t xml:space="preserve"> состоянием муниципального внутреннего и внешнего долга»;</w:t>
      </w:r>
    </w:p>
    <w:p w:rsidR="00163A87" w:rsidRPr="00163A87" w:rsidRDefault="00163A87" w:rsidP="00163A87">
      <w:pPr>
        <w:tabs>
          <w:tab w:val="left" w:pos="9355"/>
        </w:tabs>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СФК 16 «Порядок действий должностных лиц Контрольно-счетной палаты при выявлении административных правонарушений»;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СОД 01 «Планирование работы Контрольно-счетной палаты Демянского муниципального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СОД 02 «Подготовка отчета о работе Контрольно-счетной палаты Демянского муниципального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СОД 03 «Порядок организации методологического обеспечения деятельности Контрольно-счетной палаты Демянского муниципального округа».</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методические рекомендации по осуществлению мониторинга и контроля реализации мероприятий муниципальных программ по Национальным проектам;</w:t>
      </w:r>
    </w:p>
    <w:p w:rsidR="00163A87" w:rsidRPr="00163A87" w:rsidRDefault="00163A87" w:rsidP="00163A87">
      <w:pPr>
        <w:tabs>
          <w:tab w:val="left" w:pos="9355"/>
        </w:tabs>
        <w:autoSpaceDE w:val="0"/>
        <w:autoSpaceDN w:val="0"/>
        <w:adjustRightInd w:val="0"/>
        <w:spacing w:after="0" w:line="360" w:lineRule="atLeast"/>
        <w:ind w:firstLine="709"/>
        <w:jc w:val="both"/>
        <w:rPr>
          <w:rFonts w:ascii="Times New Roman" w:eastAsia="Times New Roman" w:hAnsi="Times New Roman" w:cs="Times New Roman"/>
          <w:color w:val="333333"/>
          <w:sz w:val="28"/>
          <w:szCs w:val="28"/>
          <w:shd w:val="clear" w:color="auto" w:fill="FFFFFF"/>
          <w:lang w:eastAsia="ru-RU"/>
        </w:rPr>
      </w:pPr>
      <w:r w:rsidRPr="00163A87">
        <w:rPr>
          <w:rFonts w:ascii="Times New Roman" w:eastAsia="Times New Roman" w:hAnsi="Times New Roman" w:cs="Times New Roman"/>
          <w:sz w:val="28"/>
          <w:szCs w:val="28"/>
          <w:lang w:eastAsia="ru-RU"/>
        </w:rPr>
        <w:t xml:space="preserve">методические рекомендации по осуществлению проверки главных администраторов доходов бюджета, в части поступления средств от сдачи в аренду имущества, находящегося в собственности муниципального образования. </w:t>
      </w:r>
    </w:p>
    <w:p w:rsidR="00163A87" w:rsidRPr="00163A87" w:rsidRDefault="00163A87" w:rsidP="00163A87">
      <w:pPr>
        <w:spacing w:after="0" w:line="360" w:lineRule="atLeast"/>
        <w:ind w:firstLine="709"/>
        <w:jc w:val="both"/>
        <w:rPr>
          <w:rFonts w:ascii="Times New Roman" w:eastAsia="Times New Roman" w:hAnsi="Times New Roman" w:cs="Times New Roman"/>
          <w:b/>
          <w:bCs/>
          <w:sz w:val="28"/>
          <w:szCs w:val="28"/>
          <w:lang w:eastAsia="ru-RU"/>
        </w:rPr>
      </w:pPr>
      <w:r w:rsidRPr="00163A87">
        <w:rPr>
          <w:rFonts w:ascii="Times New Roman" w:eastAsia="Times New Roman" w:hAnsi="Times New Roman" w:cs="Times New Roman"/>
          <w:sz w:val="28"/>
          <w:szCs w:val="28"/>
          <w:lang w:eastAsia="ru-RU"/>
        </w:rPr>
        <w:t xml:space="preserve">Кроме того, в 2024 году Контрольно-счетная палата Демянского муниципального </w:t>
      </w:r>
      <w:r w:rsidRPr="00163A87">
        <w:rPr>
          <w:rFonts w:ascii="Times New Roman" w:eastAsia="Times New Roman" w:hAnsi="Times New Roman" w:cs="Times New Roman"/>
          <w:bCs/>
          <w:sz w:val="28"/>
          <w:szCs w:val="28"/>
          <w:lang w:eastAsia="ru-RU"/>
        </w:rPr>
        <w:t>округа</w:t>
      </w:r>
      <w:r w:rsidRPr="00163A87">
        <w:rPr>
          <w:rFonts w:ascii="Times New Roman" w:eastAsia="Times New Roman" w:hAnsi="Times New Roman" w:cs="Times New Roman"/>
          <w:sz w:val="28"/>
          <w:szCs w:val="28"/>
          <w:lang w:eastAsia="ru-RU"/>
        </w:rPr>
        <w:t xml:space="preserve"> произвела передачу дел Контрольно-счетной палаты Демянского муниципального района в архив Демянского муниципального округа в количестве 156 дел:</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за 2012-2023 годы по личному составу -31 дело;</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за 2016-2024 годы постоянного хранения -125 дел.</w:t>
      </w:r>
    </w:p>
    <w:p w:rsid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p>
    <w:p w:rsidR="00D321B9" w:rsidRDefault="00D321B9" w:rsidP="00163A87">
      <w:pPr>
        <w:spacing w:after="0" w:line="360" w:lineRule="atLeast"/>
        <w:ind w:firstLine="709"/>
        <w:jc w:val="both"/>
        <w:rPr>
          <w:rFonts w:ascii="Times New Roman" w:eastAsia="Times New Roman" w:hAnsi="Times New Roman" w:cs="Times New Roman"/>
          <w:sz w:val="28"/>
          <w:szCs w:val="28"/>
          <w:lang w:eastAsia="ru-RU"/>
        </w:rPr>
      </w:pPr>
    </w:p>
    <w:p w:rsidR="00D321B9" w:rsidRDefault="00D321B9" w:rsidP="00163A87">
      <w:pPr>
        <w:spacing w:after="0" w:line="360" w:lineRule="atLeast"/>
        <w:ind w:firstLine="709"/>
        <w:jc w:val="both"/>
        <w:rPr>
          <w:rFonts w:ascii="Times New Roman" w:eastAsia="Times New Roman" w:hAnsi="Times New Roman" w:cs="Times New Roman"/>
          <w:sz w:val="28"/>
          <w:szCs w:val="28"/>
          <w:lang w:eastAsia="ru-RU"/>
        </w:rPr>
      </w:pPr>
    </w:p>
    <w:p w:rsidR="00E779D5" w:rsidRDefault="00E779D5" w:rsidP="00D321B9">
      <w:pPr>
        <w:spacing w:after="0" w:line="240" w:lineRule="exact"/>
        <w:jc w:val="center"/>
        <w:rPr>
          <w:rFonts w:ascii="Times New Roman" w:eastAsia="Times New Roman" w:hAnsi="Times New Roman" w:cs="Times New Roman"/>
          <w:b/>
          <w:bCs/>
          <w:sz w:val="28"/>
          <w:szCs w:val="28"/>
        </w:rPr>
      </w:pPr>
    </w:p>
    <w:p w:rsidR="00163A87" w:rsidRPr="00163A87" w:rsidRDefault="00D321B9" w:rsidP="00D321B9">
      <w:pPr>
        <w:spacing w:after="0" w:line="24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5</w:t>
      </w:r>
      <w:r w:rsidR="00163A87" w:rsidRPr="00163A87">
        <w:rPr>
          <w:rFonts w:ascii="Times New Roman" w:eastAsia="Times New Roman" w:hAnsi="Times New Roman" w:cs="Times New Roman"/>
          <w:b/>
          <w:bCs/>
          <w:sz w:val="28"/>
          <w:szCs w:val="28"/>
        </w:rPr>
        <w:t>. Гласность в деятельности Контрольно-счетной палаты</w:t>
      </w:r>
    </w:p>
    <w:p w:rsidR="00163A87" w:rsidRPr="00163A87" w:rsidRDefault="00163A87" w:rsidP="00163A8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В целях обеспечения доступа к информации о деятельности Контрольно-счетной палаты в 2024 году проводилась работа по информационному обеспечению официального сайта Администрации Демянского муниципального округа, где размещалась информация о деятельности Контрольно-счетной палаты, план работы о проведении контрольных и экспертно-аналитических мероприятий, нормативно-правовые документы.</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Также в связи с внесенными изменениями в Федеральный закон </w:t>
      </w:r>
      <w:r w:rsidR="00E779D5">
        <w:rPr>
          <w:rFonts w:ascii="Times New Roman" w:eastAsia="Times New Roman" w:hAnsi="Times New Roman" w:cs="Times New Roman"/>
          <w:sz w:val="28"/>
          <w:szCs w:val="28"/>
          <w:lang w:eastAsia="ru-RU"/>
        </w:rPr>
        <w:t xml:space="preserve">                 </w:t>
      </w:r>
      <w:r w:rsidRPr="00163A87">
        <w:rPr>
          <w:rFonts w:ascii="Times New Roman" w:eastAsia="Times New Roman" w:hAnsi="Times New Roman" w:cs="Times New Roman"/>
          <w:sz w:val="28"/>
          <w:szCs w:val="28"/>
          <w:lang w:eastAsia="ru-RU"/>
        </w:rPr>
        <w:t>от 09.02.2009 № 8-ФЗ «Об обеспечении доступа к информации о деятельности государственных органов и органов местного самоуправления» в части исполнения полномочий по ведению публичных страниц в сети «Интернет», создана официальная страница Контрольно-счетной палаты в социальной сети «</w:t>
      </w:r>
      <w:proofErr w:type="spellStart"/>
      <w:r w:rsidRPr="00163A87">
        <w:rPr>
          <w:rFonts w:ascii="Times New Roman" w:eastAsia="Times New Roman" w:hAnsi="Times New Roman" w:cs="Times New Roman"/>
          <w:sz w:val="28"/>
          <w:szCs w:val="28"/>
          <w:lang w:eastAsia="ru-RU"/>
        </w:rPr>
        <w:t>ВКонтакте</w:t>
      </w:r>
      <w:proofErr w:type="spellEnd"/>
      <w:r w:rsidRPr="00163A87">
        <w:rPr>
          <w:rFonts w:ascii="Times New Roman" w:eastAsia="Times New Roman" w:hAnsi="Times New Roman" w:cs="Times New Roman"/>
          <w:sz w:val="28"/>
          <w:szCs w:val="28"/>
          <w:lang w:eastAsia="ru-RU"/>
        </w:rPr>
        <w:t>».</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p>
    <w:p w:rsidR="00163A87" w:rsidRPr="00163A87" w:rsidRDefault="00D321B9" w:rsidP="00D321B9">
      <w:pPr>
        <w:spacing w:after="0" w:line="240" w:lineRule="exac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w:t>
      </w:r>
      <w:r w:rsidR="00163A87" w:rsidRPr="00163A87">
        <w:rPr>
          <w:rFonts w:ascii="Times New Roman" w:eastAsia="Times New Roman" w:hAnsi="Times New Roman" w:cs="Times New Roman"/>
          <w:b/>
          <w:bCs/>
          <w:sz w:val="28"/>
          <w:szCs w:val="28"/>
          <w:lang w:eastAsia="ru-RU"/>
        </w:rPr>
        <w:t>. Обеспечение деятельности Контрольно-счетной палаты</w:t>
      </w:r>
    </w:p>
    <w:p w:rsidR="00163A87" w:rsidRPr="00163A87" w:rsidRDefault="00163A87" w:rsidP="00163A8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В отчетном периоде штатная численность Контрольно-счетной палаты составляла 2,5 единицы (председатель, аудитор, ведущий служащий).</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В 2024 году расходы на содержание Контрольно-счетной палаты  составили 2103,8</w:t>
      </w:r>
      <w:r w:rsidR="00D321B9">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тыс</w:t>
      </w:r>
      <w:proofErr w:type="gramStart"/>
      <w:r w:rsidRPr="00163A87">
        <w:rPr>
          <w:rFonts w:ascii="Times New Roman" w:eastAsia="Times New Roman" w:hAnsi="Times New Roman" w:cs="Times New Roman"/>
          <w:sz w:val="28"/>
          <w:szCs w:val="28"/>
          <w:lang w:eastAsia="ru-RU"/>
        </w:rPr>
        <w:t>.р</w:t>
      </w:r>
      <w:proofErr w:type="gramEnd"/>
      <w:r w:rsidRPr="00163A87">
        <w:rPr>
          <w:rFonts w:ascii="Times New Roman" w:eastAsia="Times New Roman" w:hAnsi="Times New Roman" w:cs="Times New Roman"/>
          <w:sz w:val="28"/>
          <w:szCs w:val="28"/>
          <w:lang w:eastAsia="ru-RU"/>
        </w:rPr>
        <w:t>ублей</w:t>
      </w:r>
      <w:proofErr w:type="spellEnd"/>
      <w:r w:rsidRPr="00163A87">
        <w:rPr>
          <w:rFonts w:ascii="Times New Roman" w:eastAsia="Times New Roman" w:hAnsi="Times New Roman" w:cs="Times New Roman"/>
          <w:sz w:val="28"/>
          <w:szCs w:val="28"/>
          <w:lang w:eastAsia="ru-RU"/>
        </w:rPr>
        <w:t>, в том числе 71,1</w:t>
      </w:r>
      <w:r w:rsidR="00D321B9">
        <w:rPr>
          <w:rFonts w:ascii="Times New Roman" w:eastAsia="Times New Roman" w:hAnsi="Times New Roman" w:cs="Times New Roman"/>
          <w:sz w:val="28"/>
          <w:szCs w:val="28"/>
          <w:lang w:eastAsia="ru-RU"/>
        </w:rPr>
        <w:t xml:space="preserve"> </w:t>
      </w:r>
      <w:proofErr w:type="spellStart"/>
      <w:r w:rsidRPr="00163A87">
        <w:rPr>
          <w:rFonts w:ascii="Times New Roman" w:eastAsia="Times New Roman" w:hAnsi="Times New Roman" w:cs="Times New Roman"/>
          <w:sz w:val="28"/>
          <w:szCs w:val="28"/>
          <w:lang w:eastAsia="ru-RU"/>
        </w:rPr>
        <w:t>тыс.рублей</w:t>
      </w:r>
      <w:proofErr w:type="spellEnd"/>
      <w:r w:rsidRPr="00163A87">
        <w:rPr>
          <w:rFonts w:ascii="Times New Roman" w:eastAsia="Times New Roman" w:hAnsi="Times New Roman" w:cs="Times New Roman"/>
          <w:sz w:val="28"/>
          <w:szCs w:val="28"/>
          <w:lang w:eastAsia="ru-RU"/>
        </w:rPr>
        <w:t xml:space="preserve"> расходы на материально-техническое обеспечение органа внешнего муниципального финансового контроля (услуги связи, обслуживание необходимого программного обеспечения, приобретение канцелярских товаров, основных средств).</w:t>
      </w:r>
    </w:p>
    <w:p w:rsidR="00163A87" w:rsidRPr="00163A87" w:rsidRDefault="00163A87" w:rsidP="00163A87">
      <w:pPr>
        <w:spacing w:after="0" w:line="360" w:lineRule="atLeast"/>
        <w:ind w:firstLine="709"/>
        <w:jc w:val="both"/>
        <w:rPr>
          <w:rFonts w:ascii="Times New Roman" w:eastAsia="Times New Roman" w:hAnsi="Times New Roman" w:cs="Times New Roman"/>
          <w:sz w:val="28"/>
          <w:szCs w:val="28"/>
          <w:lang w:eastAsia="ru-RU"/>
        </w:rPr>
      </w:pPr>
      <w:r w:rsidRPr="00163A87">
        <w:rPr>
          <w:rFonts w:ascii="Times New Roman" w:eastAsia="Times New Roman" w:hAnsi="Times New Roman" w:cs="Times New Roman"/>
          <w:sz w:val="28"/>
          <w:szCs w:val="28"/>
          <w:lang w:eastAsia="ru-RU"/>
        </w:rPr>
        <w:t xml:space="preserve">Оплата труда лиц, замещающих в Контрольно-счетной палате муниципальные должности и должности муниципальной службы, осуществлялась в соответствии с требованиями федерального, областного законодательства и нормативно-правовых актов Демянского муниципального округа, регламентирующих правовые отношения в данной сфере. </w:t>
      </w:r>
    </w:p>
    <w:p w:rsidR="00DE4C70" w:rsidRDefault="00DE4C70" w:rsidP="00DE4C70">
      <w:pPr>
        <w:widowControl w:val="0"/>
        <w:spacing w:after="0" w:line="360" w:lineRule="atLeast"/>
        <w:jc w:val="both"/>
        <w:rPr>
          <w:rFonts w:ascii="Times New Roman" w:eastAsia="Times New Roman" w:hAnsi="Times New Roman" w:cs="Times New Roman"/>
          <w:sz w:val="28"/>
          <w:szCs w:val="28"/>
        </w:rPr>
      </w:pPr>
    </w:p>
    <w:p w:rsidR="001B39A2" w:rsidRDefault="001B39A2" w:rsidP="00DE4C70">
      <w:pPr>
        <w:spacing w:after="0" w:line="240" w:lineRule="exact"/>
        <w:jc w:val="center"/>
        <w:rPr>
          <w:rFonts w:ascii="Times New Roman" w:eastAsia="Times New Roman" w:hAnsi="Times New Roman" w:cs="Times New Roman"/>
          <w:sz w:val="28"/>
          <w:szCs w:val="28"/>
        </w:rPr>
        <w:sectPr w:rsidR="001B39A2" w:rsidSect="00A7261C">
          <w:headerReference w:type="default" r:id="rId11"/>
          <w:pgSz w:w="11906" w:h="16840"/>
          <w:pgMar w:top="1134" w:right="567" w:bottom="568" w:left="1985" w:header="709" w:footer="709" w:gutter="0"/>
          <w:pgNumType w:start="1"/>
          <w:cols w:space="708"/>
          <w:titlePg/>
          <w:docGrid w:linePitch="360"/>
        </w:sectPr>
      </w:pPr>
    </w:p>
    <w:tbl>
      <w:tblPr>
        <w:tblStyle w:val="a9"/>
        <w:tblW w:w="1570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gridCol w:w="4645"/>
      </w:tblGrid>
      <w:tr w:rsidR="00FD1860" w:rsidTr="002A1CE3">
        <w:tc>
          <w:tcPr>
            <w:tcW w:w="11056" w:type="dxa"/>
          </w:tcPr>
          <w:p w:rsidR="00FD1860" w:rsidRDefault="00FD1860" w:rsidP="00842EF5">
            <w:pPr>
              <w:widowControl w:val="0"/>
              <w:spacing w:line="240" w:lineRule="exact"/>
              <w:jc w:val="both"/>
              <w:rPr>
                <w:rFonts w:ascii="Times New Roman" w:eastAsia="Times New Roman" w:hAnsi="Times New Roman" w:cs="Times New Roman"/>
                <w:sz w:val="28"/>
                <w:szCs w:val="28"/>
                <w:lang w:eastAsia="ru-RU"/>
              </w:rPr>
            </w:pPr>
          </w:p>
        </w:tc>
        <w:tc>
          <w:tcPr>
            <w:tcW w:w="4645" w:type="dxa"/>
          </w:tcPr>
          <w:p w:rsidR="00FD1860" w:rsidRPr="00A45764" w:rsidRDefault="00FD1860" w:rsidP="00842EF5">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E779D5">
              <w:rPr>
                <w:rFonts w:ascii="Times New Roman" w:eastAsia="Times New Roman" w:hAnsi="Times New Roman" w:cs="Times New Roman"/>
                <w:sz w:val="28"/>
                <w:szCs w:val="28"/>
                <w:lang w:eastAsia="ru-RU"/>
              </w:rPr>
              <w:t>№ 1</w:t>
            </w:r>
          </w:p>
          <w:p w:rsidR="00FD1860" w:rsidRDefault="002A1CE3" w:rsidP="002A1CE3">
            <w:pPr>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к О</w:t>
            </w:r>
            <w:r w:rsidRPr="002A1CE3">
              <w:rPr>
                <w:rFonts w:ascii="Times New Roman" w:eastAsia="Times New Roman" w:hAnsi="Times New Roman" w:cs="Times New Roman"/>
                <w:bCs/>
                <w:sz w:val="28"/>
                <w:szCs w:val="28"/>
              </w:rPr>
              <w:t>тчет</w:t>
            </w:r>
            <w:r>
              <w:rPr>
                <w:rFonts w:ascii="Times New Roman" w:eastAsia="Times New Roman" w:hAnsi="Times New Roman" w:cs="Times New Roman"/>
                <w:bCs/>
                <w:sz w:val="28"/>
                <w:szCs w:val="28"/>
              </w:rPr>
              <w:t>у</w:t>
            </w:r>
            <w:r w:rsidRPr="002A1CE3">
              <w:rPr>
                <w:rFonts w:ascii="Times New Roman" w:eastAsia="Times New Roman" w:hAnsi="Times New Roman" w:cs="Times New Roman"/>
                <w:bCs/>
                <w:sz w:val="28"/>
                <w:szCs w:val="28"/>
              </w:rPr>
              <w:t xml:space="preserve"> о работе</w:t>
            </w:r>
            <w:r w:rsidRPr="002A1CE3">
              <w:rPr>
                <w:rFonts w:ascii="Times New Roman" w:eastAsia="Times New Roman" w:hAnsi="Times New Roman" w:cs="Times New Roman"/>
                <w:bCs/>
                <w:color w:val="92D050"/>
                <w:sz w:val="28"/>
                <w:szCs w:val="28"/>
              </w:rPr>
              <w:t xml:space="preserve"> </w:t>
            </w:r>
            <w:r w:rsidRPr="002A1CE3">
              <w:rPr>
                <w:rFonts w:ascii="Times New Roman" w:eastAsia="Times New Roman" w:hAnsi="Times New Roman" w:cs="Times New Roman"/>
                <w:bCs/>
                <w:sz w:val="28"/>
                <w:szCs w:val="28"/>
              </w:rPr>
              <w:t>Контрольно-счетной палаты Демянского</w:t>
            </w:r>
            <w:r>
              <w:rPr>
                <w:rFonts w:ascii="Times New Roman" w:eastAsia="Times New Roman" w:hAnsi="Times New Roman" w:cs="Times New Roman"/>
                <w:bCs/>
                <w:sz w:val="28"/>
                <w:szCs w:val="28"/>
              </w:rPr>
              <w:t xml:space="preserve"> </w:t>
            </w:r>
            <w:r w:rsidRPr="002A1CE3">
              <w:rPr>
                <w:rFonts w:ascii="Times New Roman" w:eastAsia="Times New Roman" w:hAnsi="Times New Roman" w:cs="Times New Roman"/>
                <w:bCs/>
                <w:sz w:val="28"/>
                <w:szCs w:val="28"/>
              </w:rPr>
              <w:t xml:space="preserve">муниципального округа за 2024 год  </w:t>
            </w:r>
            <w:r w:rsidR="00FD1860">
              <w:rPr>
                <w:rFonts w:ascii="Times New Roman" w:eastAsia="Times New Roman" w:hAnsi="Times New Roman" w:cs="Times New Roman"/>
                <w:sz w:val="28"/>
                <w:szCs w:val="28"/>
                <w:lang w:eastAsia="ru-RU"/>
              </w:rPr>
              <w:t xml:space="preserve"> </w:t>
            </w:r>
          </w:p>
        </w:tc>
      </w:tr>
    </w:tbl>
    <w:p w:rsidR="008856C9" w:rsidRDefault="008856C9" w:rsidP="00DE4C70">
      <w:pPr>
        <w:spacing w:after="0" w:line="240" w:lineRule="exact"/>
        <w:jc w:val="center"/>
        <w:rPr>
          <w:rFonts w:ascii="Times New Roman" w:eastAsia="Times New Roman" w:hAnsi="Times New Roman" w:cs="Times New Roman"/>
          <w:sz w:val="28"/>
          <w:szCs w:val="28"/>
        </w:rPr>
      </w:pPr>
    </w:p>
    <w:p w:rsidR="001B39A2" w:rsidRDefault="001B39A2" w:rsidP="00DE4C70">
      <w:pPr>
        <w:spacing w:after="0" w:line="240" w:lineRule="exact"/>
        <w:jc w:val="center"/>
        <w:rPr>
          <w:rFonts w:ascii="Times New Roman" w:eastAsia="Times New Roman" w:hAnsi="Times New Roman" w:cs="Times New Roman"/>
          <w:sz w:val="28"/>
          <w:szCs w:val="28"/>
        </w:rPr>
      </w:pPr>
    </w:p>
    <w:tbl>
      <w:tblPr>
        <w:tblW w:w="153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871"/>
        <w:gridCol w:w="3350"/>
        <w:gridCol w:w="992"/>
        <w:gridCol w:w="1185"/>
        <w:gridCol w:w="1083"/>
        <w:gridCol w:w="1077"/>
        <w:gridCol w:w="1080"/>
        <w:gridCol w:w="1185"/>
      </w:tblGrid>
      <w:tr w:rsidR="001B39A2" w:rsidRPr="001B39A2" w:rsidTr="00FD1860">
        <w:trPr>
          <w:trHeight w:val="735"/>
        </w:trPr>
        <w:tc>
          <w:tcPr>
            <w:tcW w:w="568" w:type="dxa"/>
            <w:vMerge w:val="restart"/>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/п</w:t>
            </w:r>
          </w:p>
        </w:tc>
        <w:tc>
          <w:tcPr>
            <w:tcW w:w="4871" w:type="dxa"/>
            <w:vMerge w:val="restart"/>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Пункт классификатора (одобрен решением Совета контрольно-счетных органов при Счетной палате Новгородской области)</w:t>
            </w:r>
          </w:p>
        </w:tc>
        <w:tc>
          <w:tcPr>
            <w:tcW w:w="3350" w:type="dxa"/>
            <w:vMerge w:val="restart"/>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Нарушения</w:t>
            </w:r>
          </w:p>
        </w:tc>
        <w:tc>
          <w:tcPr>
            <w:tcW w:w="2177" w:type="dxa"/>
            <w:gridSpan w:val="2"/>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МАУДО «Центр детского творчества»</w:t>
            </w:r>
          </w:p>
        </w:tc>
        <w:tc>
          <w:tcPr>
            <w:tcW w:w="2160" w:type="dxa"/>
            <w:gridSpan w:val="2"/>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«Проверка полноты и своевременности поступления платы за наем жилых помещений, предоставляемых по договорам социального найма жилищного фонда»</w:t>
            </w:r>
          </w:p>
        </w:tc>
        <w:tc>
          <w:tcPr>
            <w:tcW w:w="2265" w:type="dxa"/>
            <w:gridSpan w:val="2"/>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ВСЕГО</w:t>
            </w:r>
          </w:p>
        </w:tc>
      </w:tr>
      <w:tr w:rsidR="001B39A2" w:rsidRPr="001B39A2" w:rsidTr="00FD1860">
        <w:trPr>
          <w:trHeight w:val="505"/>
        </w:trPr>
        <w:tc>
          <w:tcPr>
            <w:tcW w:w="568" w:type="dxa"/>
            <w:vMerge/>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4871" w:type="dxa"/>
            <w:vMerge/>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3350" w:type="dxa"/>
            <w:vMerge/>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992" w:type="dxa"/>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Сумма</w:t>
            </w:r>
          </w:p>
        </w:tc>
        <w:tc>
          <w:tcPr>
            <w:tcW w:w="1185" w:type="dxa"/>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roofErr w:type="spellStart"/>
            <w:proofErr w:type="gramStart"/>
            <w:r w:rsidRPr="00FD1860">
              <w:rPr>
                <w:rFonts w:ascii="Times New Roman" w:hAnsi="Times New Roman" w:cs="Times New Roman"/>
                <w:color w:val="000000" w:themeColor="text1"/>
                <w:sz w:val="24"/>
                <w:szCs w:val="24"/>
              </w:rPr>
              <w:t>Количе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ство</w:t>
            </w:r>
            <w:proofErr w:type="spellEnd"/>
            <w:proofErr w:type="gramEnd"/>
            <w:r w:rsidRPr="00FD1860">
              <w:rPr>
                <w:rFonts w:ascii="Times New Roman" w:hAnsi="Times New Roman" w:cs="Times New Roman"/>
                <w:color w:val="000000" w:themeColor="text1"/>
                <w:sz w:val="24"/>
                <w:szCs w:val="24"/>
              </w:rPr>
              <w:t xml:space="preserve"> </w:t>
            </w:r>
            <w:proofErr w:type="spellStart"/>
            <w:r w:rsidRPr="00FD1860">
              <w:rPr>
                <w:rFonts w:ascii="Times New Roman" w:hAnsi="Times New Roman" w:cs="Times New Roman"/>
                <w:color w:val="000000" w:themeColor="text1"/>
                <w:sz w:val="24"/>
                <w:szCs w:val="24"/>
              </w:rPr>
              <w:t>наруше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ний</w:t>
            </w:r>
            <w:proofErr w:type="spellEnd"/>
          </w:p>
        </w:tc>
        <w:tc>
          <w:tcPr>
            <w:tcW w:w="1083" w:type="dxa"/>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Сумма</w:t>
            </w:r>
          </w:p>
        </w:tc>
        <w:tc>
          <w:tcPr>
            <w:tcW w:w="1077" w:type="dxa"/>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Коли</w:t>
            </w:r>
            <w:r w:rsidR="00FD1860">
              <w:rPr>
                <w:rFonts w:ascii="Times New Roman" w:hAnsi="Times New Roman" w:cs="Times New Roman"/>
                <w:color w:val="000000" w:themeColor="text1"/>
                <w:sz w:val="24"/>
                <w:szCs w:val="24"/>
              </w:rPr>
              <w:t>-</w:t>
            </w:r>
            <w:proofErr w:type="spellStart"/>
            <w:r w:rsidRPr="00FD1860">
              <w:rPr>
                <w:rFonts w:ascii="Times New Roman" w:hAnsi="Times New Roman" w:cs="Times New Roman"/>
                <w:color w:val="000000" w:themeColor="text1"/>
                <w:sz w:val="24"/>
                <w:szCs w:val="24"/>
              </w:rPr>
              <w:t>чество</w:t>
            </w:r>
            <w:proofErr w:type="spellEnd"/>
            <w:proofErr w:type="gramEnd"/>
            <w:r w:rsidRPr="00FD1860">
              <w:rPr>
                <w:rFonts w:ascii="Times New Roman" w:hAnsi="Times New Roman" w:cs="Times New Roman"/>
                <w:color w:val="000000" w:themeColor="text1"/>
                <w:sz w:val="24"/>
                <w:szCs w:val="24"/>
              </w:rPr>
              <w:t xml:space="preserve"> нару</w:t>
            </w:r>
            <w:r w:rsidR="00FD1860">
              <w:rPr>
                <w:rFonts w:ascii="Times New Roman" w:hAnsi="Times New Roman" w:cs="Times New Roman"/>
                <w:color w:val="000000" w:themeColor="text1"/>
                <w:sz w:val="24"/>
                <w:szCs w:val="24"/>
              </w:rPr>
              <w:t>-</w:t>
            </w:r>
            <w:proofErr w:type="spellStart"/>
            <w:r w:rsidRPr="00FD1860">
              <w:rPr>
                <w:rFonts w:ascii="Times New Roman" w:hAnsi="Times New Roman" w:cs="Times New Roman"/>
                <w:color w:val="000000" w:themeColor="text1"/>
                <w:sz w:val="24"/>
                <w:szCs w:val="24"/>
              </w:rPr>
              <w:t>шений</w:t>
            </w:r>
            <w:proofErr w:type="spellEnd"/>
          </w:p>
        </w:tc>
        <w:tc>
          <w:tcPr>
            <w:tcW w:w="1080" w:type="dxa"/>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Сумма</w:t>
            </w:r>
          </w:p>
        </w:tc>
        <w:tc>
          <w:tcPr>
            <w:tcW w:w="1185" w:type="dxa"/>
            <w:vAlign w:val="center"/>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Коли</w:t>
            </w:r>
            <w:r w:rsidR="00FD1860">
              <w:rPr>
                <w:rFonts w:ascii="Times New Roman" w:hAnsi="Times New Roman" w:cs="Times New Roman"/>
                <w:color w:val="000000" w:themeColor="text1"/>
                <w:sz w:val="24"/>
                <w:szCs w:val="24"/>
              </w:rPr>
              <w:t>-</w:t>
            </w:r>
            <w:proofErr w:type="spellStart"/>
            <w:r w:rsidRPr="00FD1860">
              <w:rPr>
                <w:rFonts w:ascii="Times New Roman" w:hAnsi="Times New Roman" w:cs="Times New Roman"/>
                <w:color w:val="000000" w:themeColor="text1"/>
                <w:sz w:val="24"/>
                <w:szCs w:val="24"/>
              </w:rPr>
              <w:t>чество</w:t>
            </w:r>
            <w:proofErr w:type="spellEnd"/>
            <w:proofErr w:type="gramEnd"/>
            <w:r w:rsidRPr="00FD1860">
              <w:rPr>
                <w:rFonts w:ascii="Times New Roman" w:hAnsi="Times New Roman" w:cs="Times New Roman"/>
                <w:color w:val="000000" w:themeColor="text1"/>
                <w:sz w:val="24"/>
                <w:szCs w:val="24"/>
              </w:rPr>
              <w:t xml:space="preserve"> </w:t>
            </w:r>
            <w:proofErr w:type="spellStart"/>
            <w:r w:rsidRPr="00FD1860">
              <w:rPr>
                <w:rFonts w:ascii="Times New Roman" w:hAnsi="Times New Roman" w:cs="Times New Roman"/>
                <w:color w:val="000000" w:themeColor="text1"/>
                <w:sz w:val="24"/>
                <w:szCs w:val="24"/>
              </w:rPr>
              <w:t>наруше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ний</w:t>
            </w:r>
            <w:proofErr w:type="spellEnd"/>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п.1.2.95 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w:t>
            </w:r>
            <w:proofErr w:type="spellStart"/>
            <w:proofErr w:type="gramStart"/>
            <w:r w:rsidRPr="00FD1860">
              <w:rPr>
                <w:rFonts w:ascii="Times New Roman" w:hAnsi="Times New Roman" w:cs="Times New Roman"/>
                <w:color w:val="000000" w:themeColor="text1"/>
                <w:sz w:val="24"/>
                <w:szCs w:val="24"/>
              </w:rPr>
              <w:t>бюд</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жетных</w:t>
            </w:r>
            <w:proofErr w:type="spellEnd"/>
            <w:proofErr w:type="gramEnd"/>
            <w:r w:rsidRPr="00FD1860">
              <w:rPr>
                <w:rFonts w:ascii="Times New Roman" w:hAnsi="Times New Roman" w:cs="Times New Roman"/>
                <w:color w:val="000000" w:themeColor="text1"/>
                <w:sz w:val="24"/>
                <w:szCs w:val="24"/>
              </w:rPr>
              <w:t xml:space="preserve">, автономных и казенных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ний</w:t>
            </w:r>
            <w:proofErr w:type="spellEnd"/>
            <w:r w:rsidRPr="00FD1860">
              <w:rPr>
                <w:rFonts w:ascii="Times New Roman" w:hAnsi="Times New Roman" w:cs="Times New Roman"/>
                <w:color w:val="000000" w:themeColor="text1"/>
                <w:sz w:val="24"/>
                <w:szCs w:val="24"/>
              </w:rPr>
              <w:t>, в том числе расходование средств бюджетов не в соответствии с целями их предоставления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Недоплата заработной платы работникам</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14,2</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4</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14,2</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4</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п.1.2.95 Нарушение порядка и условий оплаты труда сотрудников государственных (муниципальных) органов, государственных </w:t>
            </w:r>
            <w:r w:rsidRPr="00FD1860">
              <w:rPr>
                <w:rFonts w:ascii="Times New Roman" w:hAnsi="Times New Roman" w:cs="Times New Roman"/>
                <w:color w:val="000000" w:themeColor="text1"/>
                <w:sz w:val="24"/>
                <w:szCs w:val="24"/>
              </w:rPr>
              <w:lastRenderedPageBreak/>
              <w:t>(муниципальных) служащих, работников государственных (муниципальных) бюджетных, автономных и казенных учреждений, в том числе расходование средств бюджетов не в соответствии с целями их предоставления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Переплата заработной платы работникам</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17,8</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8</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17,8</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8</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3</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п.1.2.95 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в том числе расходование средств бюджетов не в соответствии с целями их предоставления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Неверный расчет заработной платы в тарификационном списке по педагогическим работникам в рамках федерального проекта «Успех каждого ребенка» с 01.09.2023</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4</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п.1.2.95 Нарушение порядка и условий оплаты труда сотрудников государственных (муниципальных) органов, государственных (муниципальных) служащих, работников государственных (муниципальных) бюджетных, автономных и казенных учреждений, в том числе расходование средств бюджетов не в соответствии с целями их предоставления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Перечисление заработной платы на карту другого работника</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19,6</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19,6</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2A1CE3">
        <w:trPr>
          <w:trHeight w:val="410"/>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5</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п.1.2.101 Нарушения при выполнении или невыполнение государственных (</w:t>
            </w:r>
            <w:proofErr w:type="spellStart"/>
            <w:proofErr w:type="gramStart"/>
            <w:r w:rsidRPr="00FD1860">
              <w:rPr>
                <w:rFonts w:ascii="Times New Roman" w:hAnsi="Times New Roman" w:cs="Times New Roman"/>
                <w:color w:val="000000" w:themeColor="text1"/>
                <w:sz w:val="24"/>
                <w:szCs w:val="24"/>
              </w:rPr>
              <w:t>муници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пальных</w:t>
            </w:r>
            <w:proofErr w:type="spellEnd"/>
            <w:proofErr w:type="gramEnd"/>
            <w:r w:rsidRPr="00FD1860">
              <w:rPr>
                <w:rFonts w:ascii="Times New Roman" w:hAnsi="Times New Roman" w:cs="Times New Roman"/>
                <w:color w:val="000000" w:themeColor="text1"/>
                <w:sz w:val="24"/>
                <w:szCs w:val="24"/>
              </w:rPr>
              <w:t xml:space="preserve">) задач и функций </w:t>
            </w:r>
            <w:proofErr w:type="spellStart"/>
            <w:r w:rsidRPr="00FD1860">
              <w:rPr>
                <w:rFonts w:ascii="Times New Roman" w:hAnsi="Times New Roman" w:cs="Times New Roman"/>
                <w:color w:val="000000" w:themeColor="text1"/>
                <w:sz w:val="24"/>
                <w:szCs w:val="24"/>
              </w:rPr>
              <w:t>государствен</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органами</w:t>
            </w:r>
            <w:r w:rsidRPr="00FD1860" w:rsidDel="001C7CEB">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и органами местного самоуправления, органами государственных внебюджетных фондов, государственными (муниципальными) казенными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w:t>
            </w:r>
            <w:proofErr w:type="spellStart"/>
            <w:r w:rsidRPr="00FD1860">
              <w:rPr>
                <w:rFonts w:ascii="Times New Roman" w:hAnsi="Times New Roman" w:cs="Times New Roman"/>
                <w:color w:val="000000" w:themeColor="text1"/>
                <w:sz w:val="24"/>
                <w:szCs w:val="24"/>
              </w:rPr>
              <w:t>муниципаль</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бюджетными и государственными (муниципальными) автономными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xml:space="preserve">, государственными корпорациями (компаниями), публично-правовыми </w:t>
            </w:r>
            <w:r w:rsidRPr="00FD1860">
              <w:rPr>
                <w:rFonts w:ascii="Times New Roman" w:hAnsi="Times New Roman" w:cs="Times New Roman"/>
                <w:color w:val="000000" w:themeColor="text1"/>
                <w:sz w:val="24"/>
                <w:szCs w:val="24"/>
              </w:rPr>
              <w:lastRenderedPageBreak/>
              <w:t>компаниями (за исключением нарушений, указанных в иных пунктах классификатора)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 xml:space="preserve">Отсутствие </w:t>
            </w:r>
            <w:hyperlink r:id="rId12" w:anchor="dst100014" w:history="1">
              <w:r w:rsidRPr="00FD1860">
                <w:rPr>
                  <w:rStyle w:val="a6"/>
                  <w:rFonts w:ascii="Times New Roman" w:hAnsi="Times New Roman" w:cs="Times New Roman"/>
                  <w:color w:val="000000" w:themeColor="text1"/>
                  <w:sz w:val="24"/>
                  <w:szCs w:val="24"/>
                  <w:u w:val="none"/>
                </w:rPr>
                <w:t>порядка</w:t>
              </w:r>
            </w:hyperlink>
            <w:r w:rsidRPr="00FD1860">
              <w:rPr>
                <w:rFonts w:ascii="Times New Roman" w:hAnsi="Times New Roman" w:cs="Times New Roman"/>
                <w:color w:val="000000" w:themeColor="text1"/>
                <w:sz w:val="24"/>
                <w:szCs w:val="24"/>
              </w:rPr>
              <w:t xml:space="preserve"> ведения органом местного самоуправления учета граждан в качестве нуждающихся в жилых помещениях, предоставляемых по договорам социального найма и предоставлению в </w:t>
            </w:r>
            <w:proofErr w:type="spellStart"/>
            <w:proofErr w:type="gramStart"/>
            <w:r w:rsidR="00FD1860">
              <w:rPr>
                <w:rFonts w:ascii="Times New Roman" w:hAnsi="Times New Roman" w:cs="Times New Roman"/>
                <w:color w:val="000000" w:themeColor="text1"/>
                <w:sz w:val="24"/>
                <w:szCs w:val="24"/>
              </w:rPr>
              <w:t>установ</w:t>
            </w:r>
            <w:proofErr w:type="spellEnd"/>
            <w:r w:rsidR="00FD1860">
              <w:rPr>
                <w:rFonts w:ascii="Times New Roman" w:hAnsi="Times New Roman" w:cs="Times New Roman"/>
                <w:color w:val="000000" w:themeColor="text1"/>
                <w:sz w:val="24"/>
                <w:szCs w:val="24"/>
              </w:rPr>
              <w:t>-ленном</w:t>
            </w:r>
            <w:proofErr w:type="gramEnd"/>
            <w:r w:rsidR="00FD1860">
              <w:rPr>
                <w:rFonts w:ascii="Times New Roman" w:hAnsi="Times New Roman" w:cs="Times New Roman"/>
                <w:color w:val="000000" w:themeColor="text1"/>
                <w:sz w:val="24"/>
                <w:szCs w:val="24"/>
              </w:rPr>
              <w:t xml:space="preserve"> </w:t>
            </w:r>
            <w:hyperlink r:id="rId13" w:anchor="dst100052" w:history="1">
              <w:r w:rsidRPr="00FD1860">
                <w:rPr>
                  <w:rStyle w:val="a6"/>
                  <w:rFonts w:ascii="Times New Roman" w:hAnsi="Times New Roman" w:cs="Times New Roman"/>
                  <w:color w:val="000000" w:themeColor="text1"/>
                  <w:sz w:val="24"/>
                  <w:szCs w:val="24"/>
                  <w:u w:val="none"/>
                </w:rPr>
                <w:t>порядке</w:t>
              </w:r>
            </w:hyperlink>
            <w:r w:rsidR="00FD1860">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малоимущим гражданам по договорам социального найма жилых </w:t>
            </w:r>
            <w:r w:rsidRPr="00FD1860">
              <w:rPr>
                <w:rFonts w:ascii="Times New Roman" w:hAnsi="Times New Roman" w:cs="Times New Roman"/>
                <w:color w:val="000000" w:themeColor="text1"/>
                <w:sz w:val="24"/>
                <w:szCs w:val="24"/>
              </w:rPr>
              <w:lastRenderedPageBreak/>
              <w:t>помещений муниципального жилищного фонда.</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6</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п.1.2.101 Нарушения при выполнении или невыполнение государственных (</w:t>
            </w:r>
            <w:proofErr w:type="spellStart"/>
            <w:proofErr w:type="gramStart"/>
            <w:r w:rsidRPr="00FD1860">
              <w:rPr>
                <w:rFonts w:ascii="Times New Roman" w:hAnsi="Times New Roman" w:cs="Times New Roman"/>
                <w:color w:val="000000" w:themeColor="text1"/>
                <w:sz w:val="24"/>
                <w:szCs w:val="24"/>
              </w:rPr>
              <w:t>муници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пальных</w:t>
            </w:r>
            <w:proofErr w:type="spellEnd"/>
            <w:proofErr w:type="gramEnd"/>
            <w:r w:rsidRPr="00FD1860">
              <w:rPr>
                <w:rFonts w:ascii="Times New Roman" w:hAnsi="Times New Roman" w:cs="Times New Roman"/>
                <w:color w:val="000000" w:themeColor="text1"/>
                <w:sz w:val="24"/>
                <w:szCs w:val="24"/>
              </w:rPr>
              <w:t xml:space="preserve">) задач и функций </w:t>
            </w:r>
            <w:proofErr w:type="spellStart"/>
            <w:r w:rsidRPr="00FD1860">
              <w:rPr>
                <w:rFonts w:ascii="Times New Roman" w:hAnsi="Times New Roman" w:cs="Times New Roman"/>
                <w:color w:val="000000" w:themeColor="text1"/>
                <w:sz w:val="24"/>
                <w:szCs w:val="24"/>
              </w:rPr>
              <w:t>государствен</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органами</w:t>
            </w:r>
            <w:r w:rsidRPr="00FD1860" w:rsidDel="001C7CEB">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и органами местного самоуправления, органами государственных внебюджетных фондов, государственными (муниципальными) казенными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w:t>
            </w:r>
            <w:proofErr w:type="spellStart"/>
            <w:r w:rsidRPr="00FD1860">
              <w:rPr>
                <w:rFonts w:ascii="Times New Roman" w:hAnsi="Times New Roman" w:cs="Times New Roman"/>
                <w:color w:val="000000" w:themeColor="text1"/>
                <w:sz w:val="24"/>
                <w:szCs w:val="24"/>
              </w:rPr>
              <w:t>муниципаль</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бюджетными и государственными (муниципальными) автономными </w:t>
            </w:r>
            <w:proofErr w:type="spellStart"/>
            <w:r w:rsidRPr="00FD1860">
              <w:rPr>
                <w:rFonts w:ascii="Times New Roman" w:hAnsi="Times New Roman" w:cs="Times New Roman"/>
                <w:color w:val="000000" w:themeColor="text1"/>
                <w:sz w:val="24"/>
                <w:szCs w:val="24"/>
              </w:rPr>
              <w:t>учреж</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дениями</w:t>
            </w:r>
            <w:proofErr w:type="spellEnd"/>
            <w:r w:rsidRPr="00FD1860">
              <w:rPr>
                <w:rFonts w:ascii="Times New Roman" w:hAnsi="Times New Roman" w:cs="Times New Roman"/>
                <w:color w:val="000000" w:themeColor="text1"/>
                <w:sz w:val="24"/>
                <w:szCs w:val="24"/>
              </w:rPr>
              <w:t>,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В целях установления единого порядка по начислению, сбору, взысканию платы за наем и доставки квитанций нанимателям жилых помещений, не разработан и не утвержден единый Порядок, регламентирующий функции и обеспечение взаимодействия отраслевых (функциональных) органов Администрации Демянского муниципального округа</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7</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п.1.2.101 Нарушения при выполнении или невыполнение государственных (</w:t>
            </w:r>
            <w:proofErr w:type="spellStart"/>
            <w:proofErr w:type="gramStart"/>
            <w:r w:rsidRPr="00FD1860">
              <w:rPr>
                <w:rFonts w:ascii="Times New Roman" w:hAnsi="Times New Roman" w:cs="Times New Roman"/>
                <w:color w:val="000000" w:themeColor="text1"/>
                <w:sz w:val="24"/>
                <w:szCs w:val="24"/>
              </w:rPr>
              <w:t>муници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пальных</w:t>
            </w:r>
            <w:proofErr w:type="spellEnd"/>
            <w:proofErr w:type="gramEnd"/>
            <w:r w:rsidRPr="00FD1860">
              <w:rPr>
                <w:rFonts w:ascii="Times New Roman" w:hAnsi="Times New Roman" w:cs="Times New Roman"/>
                <w:color w:val="000000" w:themeColor="text1"/>
                <w:sz w:val="24"/>
                <w:szCs w:val="24"/>
              </w:rPr>
              <w:t xml:space="preserve">) задач и функций </w:t>
            </w:r>
            <w:proofErr w:type="spellStart"/>
            <w:r w:rsidRPr="00FD1860">
              <w:rPr>
                <w:rFonts w:ascii="Times New Roman" w:hAnsi="Times New Roman" w:cs="Times New Roman"/>
                <w:color w:val="000000" w:themeColor="text1"/>
                <w:sz w:val="24"/>
                <w:szCs w:val="24"/>
              </w:rPr>
              <w:t>государствен</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органами</w:t>
            </w:r>
            <w:r w:rsidRPr="00FD1860" w:rsidDel="001C7CEB">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и органами местного самоуправления, органами государственных внебюджетных фондов, государственными (муниципальными) казенными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w:t>
            </w:r>
            <w:proofErr w:type="spellStart"/>
            <w:r w:rsidRPr="00FD1860">
              <w:rPr>
                <w:rFonts w:ascii="Times New Roman" w:hAnsi="Times New Roman" w:cs="Times New Roman"/>
                <w:color w:val="000000" w:themeColor="text1"/>
                <w:sz w:val="24"/>
                <w:szCs w:val="24"/>
              </w:rPr>
              <w:t>муниципа</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льными</w:t>
            </w:r>
            <w:proofErr w:type="spellEnd"/>
            <w:r w:rsidRPr="00FD1860">
              <w:rPr>
                <w:rFonts w:ascii="Times New Roman" w:hAnsi="Times New Roman" w:cs="Times New Roman"/>
                <w:color w:val="000000" w:themeColor="text1"/>
                <w:sz w:val="24"/>
                <w:szCs w:val="24"/>
              </w:rPr>
              <w:t xml:space="preserve">) бюджетными и государственными (муниципальными) автономными </w:t>
            </w:r>
            <w:proofErr w:type="spellStart"/>
            <w:r w:rsidRPr="00FD1860">
              <w:rPr>
                <w:rFonts w:ascii="Times New Roman" w:hAnsi="Times New Roman" w:cs="Times New Roman"/>
                <w:color w:val="000000" w:themeColor="text1"/>
                <w:sz w:val="24"/>
                <w:szCs w:val="24"/>
              </w:rPr>
              <w:t>учреж</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дениями</w:t>
            </w:r>
            <w:proofErr w:type="spellEnd"/>
            <w:r w:rsidRPr="00FD1860">
              <w:rPr>
                <w:rFonts w:ascii="Times New Roman" w:hAnsi="Times New Roman" w:cs="Times New Roman"/>
                <w:color w:val="000000" w:themeColor="text1"/>
                <w:sz w:val="24"/>
                <w:szCs w:val="24"/>
              </w:rPr>
              <w:t>,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Не заключены договоры социального найма с нанимателями жилых помещений</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77</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77</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8</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п.1.2.101 Нарушения при выполнении или невыполнение государственных (</w:t>
            </w:r>
            <w:proofErr w:type="spellStart"/>
            <w:proofErr w:type="gramStart"/>
            <w:r w:rsidRPr="00FD1860">
              <w:rPr>
                <w:rFonts w:ascii="Times New Roman" w:hAnsi="Times New Roman" w:cs="Times New Roman"/>
                <w:color w:val="000000" w:themeColor="text1"/>
                <w:sz w:val="24"/>
                <w:szCs w:val="24"/>
              </w:rPr>
              <w:t>муници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пальных</w:t>
            </w:r>
            <w:proofErr w:type="spellEnd"/>
            <w:proofErr w:type="gramEnd"/>
            <w:r w:rsidRPr="00FD1860">
              <w:rPr>
                <w:rFonts w:ascii="Times New Roman" w:hAnsi="Times New Roman" w:cs="Times New Roman"/>
                <w:color w:val="000000" w:themeColor="text1"/>
                <w:sz w:val="24"/>
                <w:szCs w:val="24"/>
              </w:rPr>
              <w:t xml:space="preserve">) задач и функций </w:t>
            </w:r>
            <w:proofErr w:type="spellStart"/>
            <w:r w:rsidRPr="00FD1860">
              <w:rPr>
                <w:rFonts w:ascii="Times New Roman" w:hAnsi="Times New Roman" w:cs="Times New Roman"/>
                <w:color w:val="000000" w:themeColor="text1"/>
                <w:sz w:val="24"/>
                <w:szCs w:val="24"/>
              </w:rPr>
              <w:t>государствен</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органами</w:t>
            </w:r>
            <w:r w:rsidRPr="00FD1860" w:rsidDel="001C7CEB">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и органами местного самоуправления, органами государственных внебюджетных фондов, государственными </w:t>
            </w:r>
            <w:r w:rsidRPr="00FD1860">
              <w:rPr>
                <w:rFonts w:ascii="Times New Roman" w:hAnsi="Times New Roman" w:cs="Times New Roman"/>
                <w:color w:val="000000" w:themeColor="text1"/>
                <w:sz w:val="24"/>
                <w:szCs w:val="24"/>
              </w:rPr>
              <w:lastRenderedPageBreak/>
              <w:t xml:space="preserve">(муниципальными) казенными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w:t>
            </w:r>
            <w:proofErr w:type="spellStart"/>
            <w:r w:rsidRPr="00FD1860">
              <w:rPr>
                <w:rFonts w:ascii="Times New Roman" w:hAnsi="Times New Roman" w:cs="Times New Roman"/>
                <w:color w:val="000000" w:themeColor="text1"/>
                <w:sz w:val="24"/>
                <w:szCs w:val="24"/>
              </w:rPr>
              <w:t>муниципа</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льными</w:t>
            </w:r>
            <w:proofErr w:type="spellEnd"/>
            <w:r w:rsidRPr="00FD1860">
              <w:rPr>
                <w:rFonts w:ascii="Times New Roman" w:hAnsi="Times New Roman" w:cs="Times New Roman"/>
                <w:color w:val="000000" w:themeColor="text1"/>
                <w:sz w:val="24"/>
                <w:szCs w:val="24"/>
              </w:rPr>
              <w:t xml:space="preserve">) бюджетными и государственными (муниципальными) автономными </w:t>
            </w:r>
            <w:proofErr w:type="spellStart"/>
            <w:r w:rsidRPr="00FD1860">
              <w:rPr>
                <w:rFonts w:ascii="Times New Roman" w:hAnsi="Times New Roman" w:cs="Times New Roman"/>
                <w:color w:val="000000" w:themeColor="text1"/>
                <w:sz w:val="24"/>
                <w:szCs w:val="24"/>
              </w:rPr>
              <w:t>учреж</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дениями</w:t>
            </w:r>
            <w:proofErr w:type="spellEnd"/>
            <w:r w:rsidRPr="00FD1860">
              <w:rPr>
                <w:rFonts w:ascii="Times New Roman" w:hAnsi="Times New Roman" w:cs="Times New Roman"/>
                <w:color w:val="000000" w:themeColor="text1"/>
                <w:sz w:val="24"/>
                <w:szCs w:val="24"/>
              </w:rPr>
              <w:t>,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Не перезаключение договоров социального найма после смерти нанимателей муниципального жилья</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3</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3</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9</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п.1.2.101 Нарушения при выполнении или невыполнение государственных (</w:t>
            </w:r>
            <w:proofErr w:type="spellStart"/>
            <w:proofErr w:type="gramStart"/>
            <w:r w:rsidRPr="00FD1860">
              <w:rPr>
                <w:rFonts w:ascii="Times New Roman" w:hAnsi="Times New Roman" w:cs="Times New Roman"/>
                <w:color w:val="000000" w:themeColor="text1"/>
                <w:sz w:val="24"/>
                <w:szCs w:val="24"/>
              </w:rPr>
              <w:t>муници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пальных</w:t>
            </w:r>
            <w:proofErr w:type="spellEnd"/>
            <w:proofErr w:type="gramEnd"/>
            <w:r w:rsidRPr="00FD1860">
              <w:rPr>
                <w:rFonts w:ascii="Times New Roman" w:hAnsi="Times New Roman" w:cs="Times New Roman"/>
                <w:color w:val="000000" w:themeColor="text1"/>
                <w:sz w:val="24"/>
                <w:szCs w:val="24"/>
              </w:rPr>
              <w:t xml:space="preserve">) задач и функций </w:t>
            </w:r>
            <w:proofErr w:type="spellStart"/>
            <w:r w:rsidRPr="00FD1860">
              <w:rPr>
                <w:rFonts w:ascii="Times New Roman" w:hAnsi="Times New Roman" w:cs="Times New Roman"/>
                <w:color w:val="000000" w:themeColor="text1"/>
                <w:sz w:val="24"/>
                <w:szCs w:val="24"/>
              </w:rPr>
              <w:t>государствен</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ными</w:t>
            </w:r>
            <w:proofErr w:type="spellEnd"/>
            <w:r w:rsidRPr="00FD1860">
              <w:rPr>
                <w:rFonts w:ascii="Times New Roman" w:hAnsi="Times New Roman" w:cs="Times New Roman"/>
                <w:color w:val="000000" w:themeColor="text1"/>
                <w:sz w:val="24"/>
                <w:szCs w:val="24"/>
              </w:rPr>
              <w:t xml:space="preserve"> органами</w:t>
            </w:r>
            <w:r w:rsidRPr="00FD1860" w:rsidDel="001C7CEB">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и органами местного самоуправления, органами государственных внебюджетных фондов, государственными (муниципальными) казенными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w:t>
            </w:r>
            <w:proofErr w:type="spellStart"/>
            <w:r w:rsidRPr="00FD1860">
              <w:rPr>
                <w:rFonts w:ascii="Times New Roman" w:hAnsi="Times New Roman" w:cs="Times New Roman"/>
                <w:color w:val="000000" w:themeColor="text1"/>
                <w:sz w:val="24"/>
                <w:szCs w:val="24"/>
              </w:rPr>
              <w:t>муниципа</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льными</w:t>
            </w:r>
            <w:proofErr w:type="spellEnd"/>
            <w:r w:rsidRPr="00FD1860">
              <w:rPr>
                <w:rFonts w:ascii="Times New Roman" w:hAnsi="Times New Roman" w:cs="Times New Roman"/>
                <w:color w:val="000000" w:themeColor="text1"/>
                <w:sz w:val="24"/>
                <w:szCs w:val="24"/>
              </w:rPr>
              <w:t xml:space="preserve">) бюджетными и государственными (муниципальными) автономными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в 2024 году </w:t>
            </w:r>
            <w:proofErr w:type="spellStart"/>
            <w:r w:rsidRPr="00FD1860">
              <w:rPr>
                <w:rFonts w:ascii="Times New Roman" w:hAnsi="Times New Roman" w:cs="Times New Roman"/>
                <w:color w:val="000000" w:themeColor="text1"/>
                <w:sz w:val="24"/>
                <w:szCs w:val="24"/>
              </w:rPr>
              <w:t>претензионно</w:t>
            </w:r>
            <w:proofErr w:type="spellEnd"/>
            <w:r w:rsidRPr="00FD1860">
              <w:rPr>
                <w:rFonts w:ascii="Times New Roman" w:hAnsi="Times New Roman" w:cs="Times New Roman"/>
                <w:color w:val="000000" w:themeColor="text1"/>
                <w:sz w:val="24"/>
                <w:szCs w:val="24"/>
              </w:rPr>
              <w:t>-исковая работа по взысканию дебиторской задолженности -1033,2тыс</w:t>
            </w:r>
            <w:proofErr w:type="gramStart"/>
            <w:r w:rsidRPr="00FD1860">
              <w:rPr>
                <w:rFonts w:ascii="Times New Roman" w:hAnsi="Times New Roman" w:cs="Times New Roman"/>
                <w:color w:val="000000" w:themeColor="text1"/>
                <w:sz w:val="24"/>
                <w:szCs w:val="24"/>
              </w:rPr>
              <w:t>.р</w:t>
            </w:r>
            <w:proofErr w:type="gramEnd"/>
            <w:r w:rsidRPr="00FD1860">
              <w:rPr>
                <w:rFonts w:ascii="Times New Roman" w:hAnsi="Times New Roman" w:cs="Times New Roman"/>
                <w:color w:val="000000" w:themeColor="text1"/>
                <w:sz w:val="24"/>
                <w:szCs w:val="24"/>
              </w:rPr>
              <w:t>ублей не проводилась</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88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10</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п.1.2.101 Нарушения при выполнении или невыполнение государственных (</w:t>
            </w:r>
            <w:proofErr w:type="spellStart"/>
            <w:proofErr w:type="gramStart"/>
            <w:r w:rsidRPr="00FD1860">
              <w:rPr>
                <w:rFonts w:ascii="Times New Roman" w:hAnsi="Times New Roman" w:cs="Times New Roman"/>
                <w:color w:val="000000" w:themeColor="text1"/>
                <w:sz w:val="24"/>
                <w:szCs w:val="24"/>
              </w:rPr>
              <w:t>муни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ципальных</w:t>
            </w:r>
            <w:proofErr w:type="spellEnd"/>
            <w:proofErr w:type="gramEnd"/>
            <w:r w:rsidRPr="00FD1860">
              <w:rPr>
                <w:rFonts w:ascii="Times New Roman" w:hAnsi="Times New Roman" w:cs="Times New Roman"/>
                <w:color w:val="000000" w:themeColor="text1"/>
                <w:sz w:val="24"/>
                <w:szCs w:val="24"/>
              </w:rPr>
              <w:t xml:space="preserve">) задач и функций </w:t>
            </w:r>
            <w:proofErr w:type="spellStart"/>
            <w:r w:rsidRPr="00FD1860">
              <w:rPr>
                <w:rFonts w:ascii="Times New Roman" w:hAnsi="Times New Roman" w:cs="Times New Roman"/>
                <w:color w:val="000000" w:themeColor="text1"/>
                <w:sz w:val="24"/>
                <w:szCs w:val="24"/>
              </w:rPr>
              <w:t>государс</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твенными</w:t>
            </w:r>
            <w:proofErr w:type="spellEnd"/>
            <w:r w:rsidRPr="00FD1860">
              <w:rPr>
                <w:rFonts w:ascii="Times New Roman" w:hAnsi="Times New Roman" w:cs="Times New Roman"/>
                <w:color w:val="000000" w:themeColor="text1"/>
                <w:sz w:val="24"/>
                <w:szCs w:val="24"/>
              </w:rPr>
              <w:t xml:space="preserve"> органами</w:t>
            </w:r>
            <w:r w:rsidRPr="00FD1860" w:rsidDel="001C7CEB">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и органами местного самоуправления, органами государственных внебюджетных фондов, государственными (муниципальными) казенными </w:t>
            </w:r>
            <w:proofErr w:type="spellStart"/>
            <w:r w:rsidRPr="00FD1860">
              <w:rPr>
                <w:rFonts w:ascii="Times New Roman" w:hAnsi="Times New Roman" w:cs="Times New Roman"/>
                <w:color w:val="000000" w:themeColor="text1"/>
                <w:sz w:val="24"/>
                <w:szCs w:val="24"/>
              </w:rPr>
              <w:t>учрежде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ниями</w:t>
            </w:r>
            <w:proofErr w:type="spellEnd"/>
            <w:r w:rsidRPr="00FD1860">
              <w:rPr>
                <w:rFonts w:ascii="Times New Roman" w:hAnsi="Times New Roman" w:cs="Times New Roman"/>
                <w:color w:val="000000" w:themeColor="text1"/>
                <w:sz w:val="24"/>
                <w:szCs w:val="24"/>
              </w:rPr>
              <w:t>, государственными (</w:t>
            </w:r>
            <w:proofErr w:type="spellStart"/>
            <w:r w:rsidRPr="00FD1860">
              <w:rPr>
                <w:rFonts w:ascii="Times New Roman" w:hAnsi="Times New Roman" w:cs="Times New Roman"/>
                <w:color w:val="000000" w:themeColor="text1"/>
                <w:sz w:val="24"/>
                <w:szCs w:val="24"/>
              </w:rPr>
              <w:t>муниципа</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льными</w:t>
            </w:r>
            <w:proofErr w:type="spellEnd"/>
            <w:r w:rsidRPr="00FD1860">
              <w:rPr>
                <w:rFonts w:ascii="Times New Roman" w:hAnsi="Times New Roman" w:cs="Times New Roman"/>
                <w:color w:val="000000" w:themeColor="text1"/>
                <w:sz w:val="24"/>
                <w:szCs w:val="24"/>
              </w:rPr>
              <w:t xml:space="preserve">) бюджетными и государственными (муниципальными) автономными </w:t>
            </w:r>
            <w:proofErr w:type="spellStart"/>
            <w:r w:rsidRPr="00FD1860">
              <w:rPr>
                <w:rFonts w:ascii="Times New Roman" w:hAnsi="Times New Roman" w:cs="Times New Roman"/>
                <w:color w:val="000000" w:themeColor="text1"/>
                <w:sz w:val="24"/>
                <w:szCs w:val="24"/>
              </w:rPr>
              <w:t>учреж</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дениями</w:t>
            </w:r>
            <w:proofErr w:type="spellEnd"/>
            <w:r w:rsidRPr="00FD1860">
              <w:rPr>
                <w:rFonts w:ascii="Times New Roman" w:hAnsi="Times New Roman" w:cs="Times New Roman"/>
                <w:color w:val="000000" w:themeColor="text1"/>
                <w:sz w:val="24"/>
                <w:szCs w:val="24"/>
              </w:rPr>
              <w:t>, государственными корпорациями (компаниями), публично-правовыми компаниями (за исключением нарушений, указанных в иных пунктах классификатора)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Отсутствие журнала регистрации договоров социального найма</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170"/>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11</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п.2.2 Нарушение требований, </w:t>
            </w:r>
            <w:proofErr w:type="spellStart"/>
            <w:proofErr w:type="gramStart"/>
            <w:r w:rsidRPr="00FD1860">
              <w:rPr>
                <w:rFonts w:ascii="Times New Roman" w:hAnsi="Times New Roman" w:cs="Times New Roman"/>
                <w:color w:val="000000" w:themeColor="text1"/>
                <w:sz w:val="24"/>
                <w:szCs w:val="24"/>
              </w:rPr>
              <w:t>предъяв</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ляемых</w:t>
            </w:r>
            <w:proofErr w:type="spellEnd"/>
            <w:proofErr w:type="gramEnd"/>
            <w:r w:rsidRPr="00FD1860">
              <w:rPr>
                <w:rFonts w:ascii="Times New Roman" w:hAnsi="Times New Roman" w:cs="Times New Roman"/>
                <w:color w:val="000000" w:themeColor="text1"/>
                <w:sz w:val="24"/>
                <w:szCs w:val="24"/>
              </w:rPr>
              <w:t xml:space="preserve"> к оформлению фактов </w:t>
            </w:r>
            <w:proofErr w:type="spellStart"/>
            <w:r w:rsidRPr="00FD1860">
              <w:rPr>
                <w:rFonts w:ascii="Times New Roman" w:hAnsi="Times New Roman" w:cs="Times New Roman"/>
                <w:color w:val="000000" w:themeColor="text1"/>
                <w:sz w:val="24"/>
                <w:szCs w:val="24"/>
              </w:rPr>
              <w:t>хозяйс</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твенной</w:t>
            </w:r>
            <w:proofErr w:type="spellEnd"/>
            <w:r w:rsidRPr="00FD1860">
              <w:rPr>
                <w:rFonts w:ascii="Times New Roman" w:hAnsi="Times New Roman" w:cs="Times New Roman"/>
                <w:color w:val="000000" w:themeColor="text1"/>
                <w:sz w:val="24"/>
                <w:szCs w:val="24"/>
              </w:rPr>
              <w:t xml:space="preserve"> жизни экономического субъекта первичными учетными документами</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Отсутствие подтверждающих документов  в </w:t>
            </w:r>
            <w:proofErr w:type="gramStart"/>
            <w:r w:rsidRPr="00FD1860">
              <w:rPr>
                <w:rFonts w:ascii="Times New Roman" w:hAnsi="Times New Roman" w:cs="Times New Roman"/>
                <w:color w:val="000000" w:themeColor="text1"/>
                <w:sz w:val="24"/>
                <w:szCs w:val="24"/>
              </w:rPr>
              <w:t>журнале-операций</w:t>
            </w:r>
            <w:proofErr w:type="gramEnd"/>
            <w:r w:rsidRPr="00FD1860">
              <w:rPr>
                <w:rFonts w:ascii="Times New Roman" w:hAnsi="Times New Roman" w:cs="Times New Roman"/>
                <w:color w:val="000000" w:themeColor="text1"/>
                <w:sz w:val="24"/>
                <w:szCs w:val="24"/>
              </w:rPr>
              <w:t xml:space="preserve"> №</w:t>
            </w:r>
            <w:r w:rsidR="00FD1860">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2 «Операции с безналичными денежными средствами» (платежных поручений)</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19</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19</w:t>
            </w:r>
          </w:p>
        </w:tc>
      </w:tr>
      <w:tr w:rsidR="001B39A2" w:rsidRPr="001B39A2" w:rsidTr="00FD1860">
        <w:trPr>
          <w:trHeight w:val="105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12</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п.2.2 Нарушение требований, </w:t>
            </w:r>
            <w:proofErr w:type="spellStart"/>
            <w:proofErr w:type="gramStart"/>
            <w:r w:rsidRPr="00FD1860">
              <w:rPr>
                <w:rFonts w:ascii="Times New Roman" w:hAnsi="Times New Roman" w:cs="Times New Roman"/>
                <w:color w:val="000000" w:themeColor="text1"/>
                <w:sz w:val="24"/>
                <w:szCs w:val="24"/>
              </w:rPr>
              <w:t>предъяв</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ляемых</w:t>
            </w:r>
            <w:proofErr w:type="spellEnd"/>
            <w:proofErr w:type="gramEnd"/>
            <w:r w:rsidRPr="00FD1860">
              <w:rPr>
                <w:rFonts w:ascii="Times New Roman" w:hAnsi="Times New Roman" w:cs="Times New Roman"/>
                <w:color w:val="000000" w:themeColor="text1"/>
                <w:sz w:val="24"/>
                <w:szCs w:val="24"/>
              </w:rPr>
              <w:t xml:space="preserve"> к оформлению фактов хозяйствен</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ной жизни экономического субъекта первичными учетными документами</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Отсутствие подтверждающих документов в </w:t>
            </w:r>
            <w:proofErr w:type="gramStart"/>
            <w:r w:rsidRPr="00FD1860">
              <w:rPr>
                <w:rFonts w:ascii="Times New Roman" w:hAnsi="Times New Roman" w:cs="Times New Roman"/>
                <w:color w:val="000000" w:themeColor="text1"/>
                <w:sz w:val="24"/>
                <w:szCs w:val="24"/>
              </w:rPr>
              <w:t>журнале-операций</w:t>
            </w:r>
            <w:proofErr w:type="gramEnd"/>
            <w:r w:rsidRPr="00FD1860">
              <w:rPr>
                <w:rFonts w:ascii="Times New Roman" w:hAnsi="Times New Roman" w:cs="Times New Roman"/>
                <w:color w:val="000000" w:themeColor="text1"/>
                <w:sz w:val="24"/>
                <w:szCs w:val="24"/>
              </w:rPr>
              <w:t xml:space="preserve"> №</w:t>
            </w:r>
            <w:r w:rsidR="00FD1860">
              <w:rPr>
                <w:rFonts w:ascii="Times New Roman" w:hAnsi="Times New Roman" w:cs="Times New Roman"/>
                <w:color w:val="000000" w:themeColor="text1"/>
                <w:sz w:val="24"/>
                <w:szCs w:val="24"/>
              </w:rPr>
              <w:t xml:space="preserve"> </w:t>
            </w:r>
            <w:r w:rsidRPr="00FD1860">
              <w:rPr>
                <w:rFonts w:ascii="Times New Roman" w:hAnsi="Times New Roman" w:cs="Times New Roman"/>
                <w:color w:val="000000" w:themeColor="text1"/>
                <w:sz w:val="24"/>
                <w:szCs w:val="24"/>
              </w:rPr>
              <w:t xml:space="preserve">4 «Расчеты с </w:t>
            </w:r>
            <w:proofErr w:type="spellStart"/>
            <w:r w:rsidRPr="00FD1860">
              <w:rPr>
                <w:rFonts w:ascii="Times New Roman" w:hAnsi="Times New Roman" w:cs="Times New Roman"/>
                <w:color w:val="000000" w:themeColor="text1"/>
                <w:sz w:val="24"/>
                <w:szCs w:val="24"/>
              </w:rPr>
              <w:t>пос</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тавщиками</w:t>
            </w:r>
            <w:proofErr w:type="spellEnd"/>
            <w:r w:rsidRPr="00FD1860">
              <w:rPr>
                <w:rFonts w:ascii="Times New Roman" w:hAnsi="Times New Roman" w:cs="Times New Roman"/>
                <w:color w:val="000000" w:themeColor="text1"/>
                <w:sz w:val="24"/>
                <w:szCs w:val="24"/>
              </w:rPr>
              <w:t xml:space="preserve"> и подрядчиками» (договоры, акты, товарные накладные)</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4</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4</w:t>
            </w:r>
          </w:p>
        </w:tc>
      </w:tr>
      <w:tr w:rsidR="001B39A2" w:rsidRPr="001B39A2" w:rsidTr="00FD1860">
        <w:trPr>
          <w:trHeight w:val="105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13</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п.2.2 Нарушение требований, предъявляемых к оформлению фактов хозяйственной жизни экономического субъекта первичными учетными документами</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Нарушения в оформлении  первичных учетных документов (авансовые отчеты), отсутствие подписей руководителя Учреждения в актах и ведомостях.</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7</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7</w:t>
            </w:r>
          </w:p>
        </w:tc>
      </w:tr>
      <w:tr w:rsidR="001B39A2" w:rsidRPr="001B39A2" w:rsidTr="00FD1860">
        <w:trPr>
          <w:trHeight w:val="105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14</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п.2.2 Нарушение требований, предъявляемых к оформлению фактов хозяйственной жизни экономического субъекта первичными учетными документами</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Неучтенные в бухгалтерском учете основные средства и товарно-материальные ценности</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11</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11</w:t>
            </w:r>
          </w:p>
        </w:tc>
      </w:tr>
      <w:tr w:rsidR="001B39A2" w:rsidRPr="001B39A2" w:rsidTr="00FD1860">
        <w:trPr>
          <w:trHeight w:val="105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15</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п.2.2 Нарушение требований, предъявляемых к оформлению фактов хозяйственной жизни экономического субъекта первичными учетными документами</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Нарушения при заполнении  табелей учета рабочего времени (методист)</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1428"/>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16</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п.2.3 Нарушение требований, предъявляемых к оформлению и ведению регистров бухгалтерского учета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Нарушения при заполнении </w:t>
            </w:r>
            <w:proofErr w:type="gramStart"/>
            <w:r w:rsidRPr="00FD1860">
              <w:rPr>
                <w:rFonts w:ascii="Times New Roman" w:hAnsi="Times New Roman" w:cs="Times New Roman"/>
                <w:color w:val="000000" w:themeColor="text1"/>
                <w:sz w:val="24"/>
                <w:szCs w:val="24"/>
              </w:rPr>
              <w:t>журнала-операций</w:t>
            </w:r>
            <w:proofErr w:type="gramEnd"/>
            <w:r w:rsidRPr="00FD1860">
              <w:rPr>
                <w:rFonts w:ascii="Times New Roman" w:hAnsi="Times New Roman" w:cs="Times New Roman"/>
                <w:color w:val="000000" w:themeColor="text1"/>
                <w:sz w:val="24"/>
                <w:szCs w:val="24"/>
              </w:rPr>
              <w:t xml:space="preserve"> №3 «Расчеты с подотчетными лицами» (не заполнены реквизиты, несвоевременно распечатываются регистры)</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12</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12</w:t>
            </w:r>
          </w:p>
        </w:tc>
      </w:tr>
      <w:tr w:rsidR="001B39A2" w:rsidRPr="001B39A2" w:rsidTr="00FD1860">
        <w:trPr>
          <w:trHeight w:val="1069"/>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17</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 xml:space="preserve"> 2.9 Нарушение общих требований к </w:t>
            </w:r>
            <w:proofErr w:type="spellStart"/>
            <w:r w:rsidRPr="00FD1860">
              <w:rPr>
                <w:rFonts w:ascii="Times New Roman" w:hAnsi="Times New Roman" w:cs="Times New Roman"/>
                <w:color w:val="000000" w:themeColor="text1"/>
                <w:sz w:val="24"/>
                <w:szCs w:val="24"/>
              </w:rPr>
              <w:t>бюд</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жетной</w:t>
            </w:r>
            <w:proofErr w:type="spellEnd"/>
            <w:r w:rsidRPr="00FD1860">
              <w:rPr>
                <w:rFonts w:ascii="Times New Roman" w:hAnsi="Times New Roman" w:cs="Times New Roman"/>
                <w:color w:val="000000" w:themeColor="text1"/>
                <w:sz w:val="24"/>
                <w:szCs w:val="24"/>
              </w:rPr>
              <w:t>, бухгалтерской (финансовой) отчет</w:t>
            </w:r>
            <w:r w:rsidR="00FD1860">
              <w:rPr>
                <w:rFonts w:ascii="Times New Roman" w:hAnsi="Times New Roman" w:cs="Times New Roman"/>
                <w:color w:val="000000" w:themeColor="text1"/>
                <w:sz w:val="24"/>
                <w:szCs w:val="24"/>
              </w:rPr>
              <w:t>-</w:t>
            </w:r>
            <w:proofErr w:type="spellStart"/>
            <w:r w:rsidRPr="00FD1860">
              <w:rPr>
                <w:rFonts w:ascii="Times New Roman" w:hAnsi="Times New Roman" w:cs="Times New Roman"/>
                <w:color w:val="000000" w:themeColor="text1"/>
                <w:sz w:val="24"/>
                <w:szCs w:val="24"/>
              </w:rPr>
              <w:t>ности</w:t>
            </w:r>
            <w:proofErr w:type="spellEnd"/>
            <w:r w:rsidRPr="00FD1860">
              <w:rPr>
                <w:rFonts w:ascii="Times New Roman" w:hAnsi="Times New Roman" w:cs="Times New Roman"/>
                <w:color w:val="000000" w:themeColor="text1"/>
                <w:sz w:val="24"/>
                <w:szCs w:val="24"/>
              </w:rPr>
              <w:t xml:space="preserve"> экономического субъекта, в том числе к ее составу</w:t>
            </w:r>
          </w:p>
        </w:tc>
        <w:tc>
          <w:tcPr>
            <w:tcW w:w="3350" w:type="dxa"/>
          </w:tcPr>
          <w:p w:rsidR="001B39A2" w:rsidRPr="00FD1860" w:rsidRDefault="00FD1860" w:rsidP="00FD1860">
            <w:pPr>
              <w:spacing w:before="120" w:after="0" w:line="240"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Расхождения </w:t>
            </w:r>
            <w:r w:rsidR="001B39A2" w:rsidRPr="00FD1860">
              <w:rPr>
                <w:rFonts w:ascii="Times New Roman" w:hAnsi="Times New Roman" w:cs="Times New Roman"/>
                <w:color w:val="000000" w:themeColor="text1"/>
                <w:sz w:val="24"/>
                <w:szCs w:val="24"/>
              </w:rPr>
              <w:t xml:space="preserve">по </w:t>
            </w:r>
            <w:proofErr w:type="spellStart"/>
            <w:proofErr w:type="gramStart"/>
            <w:r w:rsidR="001B39A2" w:rsidRPr="00FD1860">
              <w:rPr>
                <w:rFonts w:ascii="Times New Roman" w:hAnsi="Times New Roman" w:cs="Times New Roman"/>
                <w:color w:val="000000" w:themeColor="text1"/>
                <w:sz w:val="24"/>
                <w:szCs w:val="24"/>
              </w:rPr>
              <w:t>взаимо</w:t>
            </w:r>
            <w:proofErr w:type="spellEnd"/>
            <w:r>
              <w:rPr>
                <w:rFonts w:ascii="Times New Roman" w:hAnsi="Times New Roman" w:cs="Times New Roman"/>
                <w:color w:val="000000" w:themeColor="text1"/>
                <w:sz w:val="24"/>
                <w:szCs w:val="24"/>
              </w:rPr>
              <w:t>-расчетам</w:t>
            </w:r>
            <w:proofErr w:type="gramEnd"/>
            <w:r>
              <w:rPr>
                <w:rFonts w:ascii="Times New Roman" w:hAnsi="Times New Roman" w:cs="Times New Roman"/>
                <w:color w:val="000000" w:themeColor="text1"/>
                <w:sz w:val="24"/>
                <w:szCs w:val="24"/>
              </w:rPr>
              <w:t xml:space="preserve"> </w:t>
            </w:r>
            <w:r w:rsidR="001B39A2" w:rsidRPr="00FD1860">
              <w:rPr>
                <w:rFonts w:ascii="Times New Roman" w:hAnsi="Times New Roman" w:cs="Times New Roman"/>
                <w:color w:val="000000" w:themeColor="text1"/>
                <w:sz w:val="24"/>
                <w:szCs w:val="24"/>
              </w:rPr>
              <w:t>с поставщиками и подрядчиками (акты сверок с данными бухгалтерского учета – ПАО Ростелеком)</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0,1</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0,1</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w:t>
            </w:r>
          </w:p>
        </w:tc>
      </w:tr>
      <w:tr w:rsidR="001B39A2" w:rsidRPr="001B39A2" w:rsidTr="00FD1860">
        <w:trPr>
          <w:trHeight w:val="87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18</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 xml:space="preserve"> 2.11 Нарушение требований, предъявляемых к правилам ведения бюджетного (бухгалтерского) учета</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Приобретенная продукция (мнемосхемы, таблички) списывалась без принятия к учету на счет 105 «Материальные запасы»</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3</w:t>
            </w: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3</w:t>
            </w:r>
          </w:p>
        </w:tc>
      </w:tr>
      <w:tr w:rsidR="001B39A2" w:rsidRPr="001B39A2" w:rsidTr="00FD1860">
        <w:trPr>
          <w:trHeight w:val="30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19</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 xml:space="preserve"> 3.36 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xml:space="preserve">Несоответствие площади муниципального жилья, </w:t>
            </w:r>
            <w:proofErr w:type="gramStart"/>
            <w:r w:rsidRPr="00FD1860">
              <w:rPr>
                <w:rFonts w:ascii="Times New Roman" w:hAnsi="Times New Roman" w:cs="Times New Roman"/>
                <w:color w:val="000000" w:themeColor="text1"/>
                <w:sz w:val="24"/>
                <w:szCs w:val="24"/>
              </w:rPr>
              <w:t>учитываемая</w:t>
            </w:r>
            <w:proofErr w:type="gramEnd"/>
            <w:r w:rsidRPr="00FD1860">
              <w:rPr>
                <w:rFonts w:ascii="Times New Roman" w:hAnsi="Times New Roman" w:cs="Times New Roman"/>
                <w:color w:val="000000" w:themeColor="text1"/>
                <w:sz w:val="24"/>
                <w:szCs w:val="24"/>
              </w:rPr>
              <w:t xml:space="preserve"> при расчете платы за наем, площади, обозначенной в договоре  социального найма и в перечне муниципального жилищного фонда  </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36</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36</w:t>
            </w:r>
          </w:p>
        </w:tc>
      </w:tr>
      <w:tr w:rsidR="001B39A2" w:rsidRPr="001B39A2" w:rsidTr="00FD1860">
        <w:trPr>
          <w:trHeight w:val="70"/>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20</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 xml:space="preserve"> 3.36 Нарушение порядка предоставления гражданам жилых помещений по договорам социального найма и договорам найма </w:t>
            </w:r>
            <w:proofErr w:type="spellStart"/>
            <w:r w:rsidRPr="00FD1860">
              <w:rPr>
                <w:rFonts w:ascii="Times New Roman" w:hAnsi="Times New Roman" w:cs="Times New Roman"/>
                <w:color w:val="000000" w:themeColor="text1"/>
                <w:sz w:val="24"/>
                <w:szCs w:val="24"/>
              </w:rPr>
              <w:t>жи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лых</w:t>
            </w:r>
            <w:proofErr w:type="spellEnd"/>
            <w:r w:rsidRPr="00FD1860">
              <w:rPr>
                <w:rFonts w:ascii="Times New Roman" w:hAnsi="Times New Roman" w:cs="Times New Roman"/>
                <w:color w:val="000000" w:themeColor="text1"/>
                <w:sz w:val="24"/>
                <w:szCs w:val="24"/>
              </w:rPr>
              <w:t xml:space="preserve"> помещений государственного (</w:t>
            </w:r>
            <w:proofErr w:type="spellStart"/>
            <w:r w:rsidRPr="00FD1860">
              <w:rPr>
                <w:rFonts w:ascii="Times New Roman" w:hAnsi="Times New Roman" w:cs="Times New Roman"/>
                <w:color w:val="000000" w:themeColor="text1"/>
                <w:sz w:val="24"/>
                <w:szCs w:val="24"/>
              </w:rPr>
              <w:t>муници</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пального</w:t>
            </w:r>
            <w:proofErr w:type="spellEnd"/>
            <w:r w:rsidRPr="00FD1860">
              <w:rPr>
                <w:rFonts w:ascii="Times New Roman" w:hAnsi="Times New Roman" w:cs="Times New Roman"/>
                <w:color w:val="000000" w:themeColor="text1"/>
                <w:sz w:val="24"/>
                <w:szCs w:val="24"/>
              </w:rPr>
              <w:t>) жилищного фонда, в том числе не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 xml:space="preserve">правомерное предоставление жилых </w:t>
            </w:r>
            <w:proofErr w:type="spellStart"/>
            <w:r w:rsidRPr="00FD1860">
              <w:rPr>
                <w:rFonts w:ascii="Times New Roman" w:hAnsi="Times New Roman" w:cs="Times New Roman"/>
                <w:color w:val="000000" w:themeColor="text1"/>
                <w:sz w:val="24"/>
                <w:szCs w:val="24"/>
              </w:rPr>
              <w:t>поме</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щений</w:t>
            </w:r>
            <w:proofErr w:type="spellEnd"/>
            <w:r w:rsidRPr="00FD1860">
              <w:rPr>
                <w:rFonts w:ascii="Times New Roman" w:hAnsi="Times New Roman" w:cs="Times New Roman"/>
                <w:color w:val="000000" w:themeColor="text1"/>
                <w:sz w:val="24"/>
                <w:szCs w:val="24"/>
              </w:rPr>
              <w:t xml:space="preserve"> из жилищного фонда Российской Федерации, субъекта Российской Федерации, муниципального образования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Производилось начисление платы за наем</w:t>
            </w:r>
            <w:r w:rsidR="00FD1860">
              <w:rPr>
                <w:rFonts w:ascii="Times New Roman" w:hAnsi="Times New Roman" w:cs="Times New Roman"/>
                <w:color w:val="000000" w:themeColor="text1"/>
                <w:sz w:val="24"/>
                <w:szCs w:val="24"/>
              </w:rPr>
              <w:t xml:space="preserve"> </w:t>
            </w:r>
            <w:proofErr w:type="spellStart"/>
            <w:proofErr w:type="gramStart"/>
            <w:r w:rsidRPr="00FD1860">
              <w:rPr>
                <w:rFonts w:ascii="Times New Roman" w:hAnsi="Times New Roman" w:cs="Times New Roman"/>
                <w:color w:val="000000" w:themeColor="text1"/>
                <w:sz w:val="24"/>
                <w:szCs w:val="24"/>
              </w:rPr>
              <w:t>муниципа</w:t>
            </w:r>
            <w:r w:rsidR="00FD1860">
              <w:rPr>
                <w:rFonts w:ascii="Times New Roman" w:hAnsi="Times New Roman" w:cs="Times New Roman"/>
                <w:color w:val="000000" w:themeColor="text1"/>
                <w:sz w:val="24"/>
                <w:szCs w:val="24"/>
              </w:rPr>
              <w:t>-</w:t>
            </w:r>
            <w:r w:rsidRPr="00FD1860">
              <w:rPr>
                <w:rFonts w:ascii="Times New Roman" w:hAnsi="Times New Roman" w:cs="Times New Roman"/>
                <w:color w:val="000000" w:themeColor="text1"/>
                <w:sz w:val="24"/>
                <w:szCs w:val="24"/>
              </w:rPr>
              <w:t>льного</w:t>
            </w:r>
            <w:proofErr w:type="spellEnd"/>
            <w:proofErr w:type="gramEnd"/>
            <w:r w:rsidRPr="00FD1860">
              <w:rPr>
                <w:rFonts w:ascii="Times New Roman" w:hAnsi="Times New Roman" w:cs="Times New Roman"/>
                <w:color w:val="000000" w:themeColor="text1"/>
                <w:sz w:val="24"/>
                <w:szCs w:val="24"/>
              </w:rPr>
              <w:t xml:space="preserve"> жилья, с неверным применением коэффициентов (степени благоустройства муниципального жилья, периода эксплуатации дома, материала стен жилого помещения) </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69</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69</w:t>
            </w:r>
          </w:p>
        </w:tc>
      </w:tr>
      <w:tr w:rsidR="001B39A2" w:rsidRPr="001B39A2" w:rsidTr="00FD1860">
        <w:trPr>
          <w:trHeight w:val="30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21</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 xml:space="preserve"> 3.36 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w:t>
            </w:r>
            <w:r w:rsidRPr="00FD1860">
              <w:rPr>
                <w:rFonts w:ascii="Times New Roman" w:hAnsi="Times New Roman" w:cs="Times New Roman"/>
                <w:color w:val="000000" w:themeColor="text1"/>
                <w:sz w:val="24"/>
                <w:szCs w:val="24"/>
              </w:rPr>
              <w:lastRenderedPageBreak/>
              <w:t>помещений из жилищного фонда Российской Федерации, субъекта Российской Федерации, муниципального образования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Отсутствие начислений платы за наем по договорам социального найма</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w:t>
            </w:r>
          </w:p>
        </w:tc>
      </w:tr>
      <w:tr w:rsidR="001B39A2" w:rsidRPr="001B39A2" w:rsidTr="00FD1860">
        <w:trPr>
          <w:trHeight w:val="306"/>
        </w:trPr>
        <w:tc>
          <w:tcPr>
            <w:tcW w:w="568"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lastRenderedPageBreak/>
              <w:t>22</w:t>
            </w:r>
          </w:p>
        </w:tc>
        <w:tc>
          <w:tcPr>
            <w:tcW w:w="4871"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roofErr w:type="gramStart"/>
            <w:r w:rsidRPr="00FD1860">
              <w:rPr>
                <w:rFonts w:ascii="Times New Roman" w:hAnsi="Times New Roman" w:cs="Times New Roman"/>
                <w:color w:val="000000" w:themeColor="text1"/>
                <w:sz w:val="24"/>
                <w:szCs w:val="24"/>
              </w:rPr>
              <w:t>п</w:t>
            </w:r>
            <w:proofErr w:type="gramEnd"/>
            <w:r w:rsidRPr="00FD1860">
              <w:rPr>
                <w:rFonts w:ascii="Times New Roman" w:hAnsi="Times New Roman" w:cs="Times New Roman"/>
                <w:color w:val="000000" w:themeColor="text1"/>
                <w:sz w:val="24"/>
                <w:szCs w:val="24"/>
              </w:rPr>
              <w:t xml:space="preserve"> 3.36 Нарушение порядка предоставления гражданам жилых помещений по договорам социального найма и договорам найма жилых помещений государственного (муниципального) жилищного фонда, в том числе неправомерное предоставление жилых помещений из жилищного фонда Российской Федерации, субъекта Российской Федерации, муниципального образования</w:t>
            </w:r>
          </w:p>
        </w:tc>
        <w:tc>
          <w:tcPr>
            <w:tcW w:w="3350" w:type="dxa"/>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Отсутствие начислений платы за наем, при фактическом проживании без заключения договора  социального найма</w:t>
            </w:r>
          </w:p>
        </w:tc>
        <w:tc>
          <w:tcPr>
            <w:tcW w:w="992"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185"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p>
        </w:tc>
        <w:tc>
          <w:tcPr>
            <w:tcW w:w="1083"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w:t>
            </w:r>
          </w:p>
        </w:tc>
      </w:tr>
      <w:tr w:rsidR="00FD1860" w:rsidRPr="001B39A2" w:rsidTr="00FD1860">
        <w:trPr>
          <w:trHeight w:val="173"/>
        </w:trPr>
        <w:tc>
          <w:tcPr>
            <w:tcW w:w="568" w:type="dxa"/>
            <w:shd w:val="clear" w:color="auto" w:fill="auto"/>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p>
        </w:tc>
        <w:tc>
          <w:tcPr>
            <w:tcW w:w="4871" w:type="dxa"/>
            <w:shd w:val="clear" w:color="auto" w:fill="auto"/>
            <w:vAlign w:val="center"/>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ИТОГО</w:t>
            </w:r>
          </w:p>
        </w:tc>
        <w:tc>
          <w:tcPr>
            <w:tcW w:w="3350" w:type="dxa"/>
            <w:shd w:val="clear" w:color="auto" w:fill="auto"/>
          </w:tcPr>
          <w:p w:rsidR="001B39A2" w:rsidRPr="00FD1860" w:rsidRDefault="001B39A2" w:rsidP="00FD1860">
            <w:pPr>
              <w:spacing w:before="120" w:after="0" w:line="240" w:lineRule="exact"/>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 </w:t>
            </w:r>
          </w:p>
        </w:tc>
        <w:tc>
          <w:tcPr>
            <w:tcW w:w="992"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51,7</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72</w:t>
            </w:r>
          </w:p>
        </w:tc>
        <w:tc>
          <w:tcPr>
            <w:tcW w:w="1083"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0,0</w:t>
            </w:r>
          </w:p>
        </w:tc>
        <w:tc>
          <w:tcPr>
            <w:tcW w:w="1077"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193</w:t>
            </w:r>
          </w:p>
        </w:tc>
        <w:tc>
          <w:tcPr>
            <w:tcW w:w="1080"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51,7</w:t>
            </w:r>
          </w:p>
        </w:tc>
        <w:tc>
          <w:tcPr>
            <w:tcW w:w="1185" w:type="dxa"/>
            <w:shd w:val="clear" w:color="auto" w:fill="auto"/>
          </w:tcPr>
          <w:p w:rsidR="001B39A2" w:rsidRPr="00FD1860" w:rsidRDefault="001B39A2" w:rsidP="00FD1860">
            <w:pPr>
              <w:spacing w:before="120" w:after="0" w:line="240" w:lineRule="exact"/>
              <w:jc w:val="center"/>
              <w:rPr>
                <w:rFonts w:ascii="Times New Roman" w:hAnsi="Times New Roman" w:cs="Times New Roman"/>
                <w:color w:val="000000" w:themeColor="text1"/>
                <w:sz w:val="24"/>
                <w:szCs w:val="24"/>
              </w:rPr>
            </w:pPr>
            <w:r w:rsidRPr="00FD1860">
              <w:rPr>
                <w:rFonts w:ascii="Times New Roman" w:hAnsi="Times New Roman" w:cs="Times New Roman"/>
                <w:color w:val="000000" w:themeColor="text1"/>
                <w:sz w:val="24"/>
                <w:szCs w:val="24"/>
              </w:rPr>
              <w:t>265</w:t>
            </w:r>
          </w:p>
        </w:tc>
      </w:tr>
    </w:tbl>
    <w:p w:rsidR="001B39A2" w:rsidRDefault="001B39A2" w:rsidP="00FD1860">
      <w:pPr>
        <w:shd w:val="clear" w:color="auto" w:fill="FFFFFF" w:themeFill="background1"/>
        <w:spacing w:after="0" w:line="240" w:lineRule="exact"/>
        <w:jc w:val="center"/>
        <w:rPr>
          <w:rFonts w:ascii="Times New Roman" w:eastAsia="Times New Roman" w:hAnsi="Times New Roman" w:cs="Times New Roman"/>
          <w:sz w:val="28"/>
          <w:szCs w:val="28"/>
        </w:rPr>
      </w:pPr>
    </w:p>
    <w:p w:rsidR="00141221" w:rsidRDefault="00141221" w:rsidP="00FD1860">
      <w:pPr>
        <w:shd w:val="clear" w:color="auto" w:fill="FFFFFF" w:themeFill="background1"/>
        <w:spacing w:after="0" w:line="240" w:lineRule="exact"/>
        <w:jc w:val="center"/>
        <w:rPr>
          <w:rFonts w:ascii="Times New Roman" w:eastAsia="Times New Roman" w:hAnsi="Times New Roman" w:cs="Times New Roman"/>
          <w:sz w:val="28"/>
          <w:szCs w:val="28"/>
        </w:rPr>
      </w:pPr>
    </w:p>
    <w:p w:rsidR="00C64E88" w:rsidRDefault="00C64E88" w:rsidP="00FD1860">
      <w:pPr>
        <w:shd w:val="clear" w:color="auto" w:fill="FFFFFF" w:themeFill="background1"/>
        <w:spacing w:after="0" w:line="240" w:lineRule="exact"/>
        <w:jc w:val="center"/>
        <w:rPr>
          <w:rFonts w:ascii="Times New Roman" w:eastAsia="Times New Roman" w:hAnsi="Times New Roman" w:cs="Times New Roman"/>
          <w:sz w:val="28"/>
          <w:szCs w:val="28"/>
        </w:rPr>
        <w:sectPr w:rsidR="00C64E88" w:rsidSect="001B39A2">
          <w:pgSz w:w="16840" w:h="11906" w:orient="landscape"/>
          <w:pgMar w:top="1418" w:right="567" w:bottom="1418" w:left="567" w:header="709" w:footer="709" w:gutter="0"/>
          <w:pgNumType w:start="1"/>
          <w:cols w:space="708"/>
          <w:titlePg/>
          <w:docGrid w:linePitch="360"/>
        </w:sectPr>
      </w:pPr>
    </w:p>
    <w:tbl>
      <w:tblPr>
        <w:tblStyle w:val="a9"/>
        <w:tblW w:w="1570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928"/>
      </w:tblGrid>
      <w:tr w:rsidR="00E779D5" w:rsidTr="002A1CE3">
        <w:tc>
          <w:tcPr>
            <w:tcW w:w="10773" w:type="dxa"/>
          </w:tcPr>
          <w:p w:rsidR="00E779D5" w:rsidRDefault="00E779D5" w:rsidP="00842EF5">
            <w:pPr>
              <w:widowControl w:val="0"/>
              <w:spacing w:line="240" w:lineRule="exact"/>
              <w:jc w:val="both"/>
              <w:rPr>
                <w:rFonts w:ascii="Times New Roman" w:eastAsia="Times New Roman" w:hAnsi="Times New Roman" w:cs="Times New Roman"/>
                <w:sz w:val="28"/>
                <w:szCs w:val="28"/>
                <w:lang w:eastAsia="ru-RU"/>
              </w:rPr>
            </w:pPr>
          </w:p>
        </w:tc>
        <w:tc>
          <w:tcPr>
            <w:tcW w:w="4928" w:type="dxa"/>
          </w:tcPr>
          <w:p w:rsidR="00E779D5" w:rsidRPr="00A45764" w:rsidRDefault="00E779D5" w:rsidP="00842EF5">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2</w:t>
            </w:r>
          </w:p>
          <w:p w:rsidR="00E779D5" w:rsidRDefault="002A1CE3" w:rsidP="002A1CE3">
            <w:pPr>
              <w:spacing w:before="12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к О</w:t>
            </w:r>
            <w:r w:rsidRPr="002A1CE3">
              <w:rPr>
                <w:rFonts w:ascii="Times New Roman" w:eastAsia="Times New Roman" w:hAnsi="Times New Roman" w:cs="Times New Roman"/>
                <w:bCs/>
                <w:sz w:val="28"/>
                <w:szCs w:val="28"/>
              </w:rPr>
              <w:t>тчет</w:t>
            </w:r>
            <w:r>
              <w:rPr>
                <w:rFonts w:ascii="Times New Roman" w:eastAsia="Times New Roman" w:hAnsi="Times New Roman" w:cs="Times New Roman"/>
                <w:bCs/>
                <w:sz w:val="28"/>
                <w:szCs w:val="28"/>
              </w:rPr>
              <w:t>у</w:t>
            </w:r>
            <w:r w:rsidRPr="002A1CE3">
              <w:rPr>
                <w:rFonts w:ascii="Times New Roman" w:eastAsia="Times New Roman" w:hAnsi="Times New Roman" w:cs="Times New Roman"/>
                <w:bCs/>
                <w:sz w:val="28"/>
                <w:szCs w:val="28"/>
              </w:rPr>
              <w:t xml:space="preserve"> о работе</w:t>
            </w:r>
            <w:r w:rsidRPr="002A1CE3">
              <w:rPr>
                <w:rFonts w:ascii="Times New Roman" w:eastAsia="Times New Roman" w:hAnsi="Times New Roman" w:cs="Times New Roman"/>
                <w:bCs/>
                <w:color w:val="92D050"/>
                <w:sz w:val="28"/>
                <w:szCs w:val="28"/>
              </w:rPr>
              <w:t xml:space="preserve"> </w:t>
            </w:r>
            <w:r w:rsidRPr="002A1CE3">
              <w:rPr>
                <w:rFonts w:ascii="Times New Roman" w:eastAsia="Times New Roman" w:hAnsi="Times New Roman" w:cs="Times New Roman"/>
                <w:bCs/>
                <w:sz w:val="28"/>
                <w:szCs w:val="28"/>
              </w:rPr>
              <w:t>Контрольно-счетной палаты Демянского</w:t>
            </w:r>
            <w:r>
              <w:rPr>
                <w:rFonts w:ascii="Times New Roman" w:eastAsia="Times New Roman" w:hAnsi="Times New Roman" w:cs="Times New Roman"/>
                <w:bCs/>
                <w:sz w:val="28"/>
                <w:szCs w:val="28"/>
              </w:rPr>
              <w:t xml:space="preserve"> </w:t>
            </w:r>
            <w:r w:rsidRPr="002A1CE3">
              <w:rPr>
                <w:rFonts w:ascii="Times New Roman" w:eastAsia="Times New Roman" w:hAnsi="Times New Roman" w:cs="Times New Roman"/>
                <w:bCs/>
                <w:sz w:val="28"/>
                <w:szCs w:val="28"/>
              </w:rPr>
              <w:t>муниципального округа за 2024 год</w:t>
            </w:r>
            <w:r w:rsidR="00E779D5">
              <w:rPr>
                <w:rFonts w:ascii="Times New Roman" w:eastAsia="Times New Roman" w:hAnsi="Times New Roman" w:cs="Times New Roman"/>
                <w:sz w:val="28"/>
                <w:szCs w:val="28"/>
                <w:lang w:eastAsia="ru-RU"/>
              </w:rPr>
              <w:t xml:space="preserve"> </w:t>
            </w:r>
          </w:p>
        </w:tc>
      </w:tr>
    </w:tbl>
    <w:p w:rsidR="00C64E88" w:rsidRDefault="00C64E88" w:rsidP="00FD1860">
      <w:pPr>
        <w:shd w:val="clear" w:color="auto" w:fill="FFFFFF" w:themeFill="background1"/>
        <w:spacing w:after="0" w:line="240" w:lineRule="exact"/>
        <w:jc w:val="center"/>
        <w:rPr>
          <w:rFonts w:ascii="Times New Roman" w:eastAsia="Times New Roman" w:hAnsi="Times New Roman" w:cs="Times New Roman"/>
          <w:sz w:val="28"/>
          <w:szCs w:val="28"/>
        </w:rPr>
      </w:pPr>
    </w:p>
    <w:p w:rsidR="00E779D5" w:rsidRDefault="00E779D5" w:rsidP="00FD1860">
      <w:pPr>
        <w:shd w:val="clear" w:color="auto" w:fill="FFFFFF" w:themeFill="background1"/>
        <w:spacing w:after="0" w:line="240" w:lineRule="exact"/>
        <w:jc w:val="center"/>
        <w:rPr>
          <w:rFonts w:ascii="Times New Roman" w:eastAsia="Times New Roman" w:hAnsi="Times New Roman" w:cs="Times New Roman"/>
          <w:sz w:val="28"/>
          <w:szCs w:val="28"/>
        </w:rPr>
      </w:pPr>
    </w:p>
    <w:tbl>
      <w:tblPr>
        <w:tblW w:w="157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206"/>
        <w:gridCol w:w="3014"/>
        <w:gridCol w:w="1044"/>
        <w:gridCol w:w="1620"/>
        <w:gridCol w:w="995"/>
        <w:gridCol w:w="1638"/>
        <w:gridCol w:w="992"/>
        <w:gridCol w:w="1260"/>
        <w:gridCol w:w="1150"/>
        <w:gridCol w:w="1278"/>
      </w:tblGrid>
      <w:tr w:rsidR="00E779D5" w:rsidRPr="00E779D5" w:rsidTr="009A657E">
        <w:trPr>
          <w:trHeight w:val="2826"/>
        </w:trPr>
        <w:tc>
          <w:tcPr>
            <w:tcW w:w="540" w:type="dxa"/>
            <w:vMerge w:val="restart"/>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proofErr w:type="gramStart"/>
            <w:r w:rsidRPr="00E779D5">
              <w:rPr>
                <w:rFonts w:ascii="Times New Roman" w:eastAsia="Times New Roman" w:hAnsi="Times New Roman" w:cs="Times New Roman"/>
                <w:sz w:val="24"/>
                <w:szCs w:val="24"/>
                <w:lang w:eastAsia="ru-RU"/>
              </w:rPr>
              <w:t>п</w:t>
            </w:r>
            <w:proofErr w:type="gramEnd"/>
            <w:r w:rsidRPr="00E779D5">
              <w:rPr>
                <w:rFonts w:ascii="Times New Roman" w:eastAsia="Times New Roman" w:hAnsi="Times New Roman" w:cs="Times New Roman"/>
                <w:sz w:val="24"/>
                <w:szCs w:val="24"/>
                <w:lang w:eastAsia="ru-RU"/>
              </w:rPr>
              <w:t>/п</w:t>
            </w:r>
          </w:p>
        </w:tc>
        <w:tc>
          <w:tcPr>
            <w:tcW w:w="2206" w:type="dxa"/>
            <w:vMerge w:val="restart"/>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 xml:space="preserve">Пункт классификатора (одобрен решением Совета контрольно-счетных органов при Счетной палате Новгородской области (протокол № 7 </w:t>
            </w:r>
            <w:r w:rsidR="009A657E">
              <w:rPr>
                <w:rFonts w:ascii="Times New Roman" w:eastAsia="Times New Roman" w:hAnsi="Times New Roman" w:cs="Times New Roman"/>
                <w:sz w:val="24"/>
                <w:szCs w:val="24"/>
                <w:lang w:eastAsia="ru-RU"/>
              </w:rPr>
              <w:t xml:space="preserve">                            </w:t>
            </w:r>
            <w:r w:rsidRPr="00E779D5">
              <w:rPr>
                <w:rFonts w:ascii="Times New Roman" w:eastAsia="Times New Roman" w:hAnsi="Times New Roman" w:cs="Times New Roman"/>
                <w:sz w:val="24"/>
                <w:szCs w:val="24"/>
                <w:lang w:eastAsia="ru-RU"/>
              </w:rPr>
              <w:t>от 24.12.2020))</w:t>
            </w:r>
          </w:p>
        </w:tc>
        <w:tc>
          <w:tcPr>
            <w:tcW w:w="3014" w:type="dxa"/>
            <w:vMerge w:val="restart"/>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Наименование нарушения</w:t>
            </w:r>
          </w:p>
        </w:tc>
        <w:tc>
          <w:tcPr>
            <w:tcW w:w="2664" w:type="dxa"/>
            <w:gridSpan w:val="2"/>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Внешняя проверка годовой бюджетной отчетности ГРБС  (Управление культуры и молодежной политики, Комитет по образованию, Комитет финансов)</w:t>
            </w:r>
          </w:p>
        </w:tc>
        <w:tc>
          <w:tcPr>
            <w:tcW w:w="2633" w:type="dxa"/>
            <w:gridSpan w:val="2"/>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Внешняя проверка годовой бюджетной отчетности бюджета Демянского муниципального района, бюджетов городского и се</w:t>
            </w:r>
            <w:r w:rsidR="00842EF5">
              <w:rPr>
                <w:rFonts w:ascii="Times New Roman" w:eastAsia="Times New Roman" w:hAnsi="Times New Roman" w:cs="Times New Roman"/>
                <w:sz w:val="24"/>
                <w:szCs w:val="24"/>
                <w:lang w:eastAsia="ru-RU"/>
              </w:rPr>
              <w:t xml:space="preserve">льских поселений                          </w:t>
            </w:r>
            <w:r w:rsidRPr="00E779D5">
              <w:rPr>
                <w:rFonts w:ascii="Times New Roman" w:eastAsia="Times New Roman" w:hAnsi="Times New Roman" w:cs="Times New Roman"/>
                <w:sz w:val="24"/>
                <w:szCs w:val="24"/>
                <w:lang w:eastAsia="ru-RU"/>
              </w:rPr>
              <w:t>(8 поселений)</w:t>
            </w:r>
          </w:p>
        </w:tc>
        <w:tc>
          <w:tcPr>
            <w:tcW w:w="2252" w:type="dxa"/>
            <w:gridSpan w:val="2"/>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«Проверка обоснованности и целевого расходования бюджетных средств, выделенных в качестве субсидии из бюджета Демянского муниципального округа в отношен</w:t>
            </w:r>
            <w:proofErr w:type="gramStart"/>
            <w:r w:rsidRPr="00E779D5">
              <w:rPr>
                <w:rFonts w:ascii="Times New Roman" w:eastAsia="Times New Roman" w:hAnsi="Times New Roman" w:cs="Times New Roman"/>
                <w:sz w:val="24"/>
                <w:szCs w:val="24"/>
                <w:lang w:eastAsia="ru-RU"/>
              </w:rPr>
              <w:t>ии ООО</w:t>
            </w:r>
            <w:proofErr w:type="gram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Жилищник</w:t>
            </w:r>
            <w:proofErr w:type="spellEnd"/>
            <w:r w:rsidRPr="00E779D5">
              <w:rPr>
                <w:rFonts w:ascii="Times New Roman" w:eastAsia="Times New Roman" w:hAnsi="Times New Roman" w:cs="Times New Roman"/>
                <w:sz w:val="24"/>
                <w:szCs w:val="24"/>
                <w:lang w:eastAsia="ru-RU"/>
              </w:rPr>
              <w:t>»»</w:t>
            </w:r>
          </w:p>
        </w:tc>
        <w:tc>
          <w:tcPr>
            <w:tcW w:w="2428" w:type="dxa"/>
            <w:gridSpan w:val="2"/>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ВСЕГО</w:t>
            </w:r>
          </w:p>
        </w:tc>
      </w:tr>
      <w:tr w:rsidR="00E779D5" w:rsidRPr="00E779D5" w:rsidTr="009A657E">
        <w:trPr>
          <w:trHeight w:val="467"/>
        </w:trPr>
        <w:tc>
          <w:tcPr>
            <w:tcW w:w="540" w:type="dxa"/>
            <w:vMerge/>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p>
        </w:tc>
        <w:tc>
          <w:tcPr>
            <w:tcW w:w="2206" w:type="dxa"/>
            <w:vMerge/>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p>
        </w:tc>
        <w:tc>
          <w:tcPr>
            <w:tcW w:w="3014" w:type="dxa"/>
            <w:vMerge/>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p>
        </w:tc>
        <w:tc>
          <w:tcPr>
            <w:tcW w:w="1044"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Сумма</w:t>
            </w:r>
          </w:p>
        </w:tc>
        <w:tc>
          <w:tcPr>
            <w:tcW w:w="1620"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Количество нарушений</w:t>
            </w:r>
          </w:p>
        </w:tc>
        <w:tc>
          <w:tcPr>
            <w:tcW w:w="995"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Сумма</w:t>
            </w:r>
          </w:p>
        </w:tc>
        <w:tc>
          <w:tcPr>
            <w:tcW w:w="1638"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Количество нарушений</w:t>
            </w:r>
          </w:p>
        </w:tc>
        <w:tc>
          <w:tcPr>
            <w:tcW w:w="992"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Сумма</w:t>
            </w:r>
          </w:p>
        </w:tc>
        <w:tc>
          <w:tcPr>
            <w:tcW w:w="1260"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proofErr w:type="gramStart"/>
            <w:r w:rsidRPr="00E779D5">
              <w:rPr>
                <w:rFonts w:ascii="Times New Roman" w:eastAsia="Times New Roman" w:hAnsi="Times New Roman" w:cs="Times New Roman"/>
                <w:sz w:val="24"/>
                <w:szCs w:val="24"/>
                <w:lang w:eastAsia="ru-RU"/>
              </w:rPr>
              <w:t>Коли</w:t>
            </w:r>
            <w:r w:rsidR="00842EF5">
              <w:rPr>
                <w:rFonts w:ascii="Times New Roman" w:eastAsia="Times New Roman" w:hAnsi="Times New Roman" w:cs="Times New Roman"/>
                <w:sz w:val="24"/>
                <w:szCs w:val="24"/>
                <w:lang w:eastAsia="ru-RU"/>
              </w:rPr>
              <w:t>-</w:t>
            </w:r>
            <w:proofErr w:type="spellStart"/>
            <w:r w:rsidRPr="00E779D5">
              <w:rPr>
                <w:rFonts w:ascii="Times New Roman" w:eastAsia="Times New Roman" w:hAnsi="Times New Roman" w:cs="Times New Roman"/>
                <w:sz w:val="24"/>
                <w:szCs w:val="24"/>
                <w:lang w:eastAsia="ru-RU"/>
              </w:rPr>
              <w:t>чество</w:t>
            </w:r>
            <w:proofErr w:type="spellEnd"/>
            <w:proofErr w:type="gram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наруше</w:t>
            </w:r>
            <w:r w:rsidR="00842EF5">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ний</w:t>
            </w:r>
            <w:proofErr w:type="spellEnd"/>
          </w:p>
        </w:tc>
        <w:tc>
          <w:tcPr>
            <w:tcW w:w="1150"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Сумма</w:t>
            </w:r>
          </w:p>
        </w:tc>
        <w:tc>
          <w:tcPr>
            <w:tcW w:w="1278" w:type="dxa"/>
            <w:vAlign w:val="center"/>
          </w:tcPr>
          <w:p w:rsidR="00E779D5" w:rsidRPr="00E779D5" w:rsidRDefault="00E779D5" w:rsidP="00842EF5">
            <w:pPr>
              <w:spacing w:before="120" w:after="0" w:line="240" w:lineRule="exact"/>
              <w:jc w:val="center"/>
              <w:rPr>
                <w:rFonts w:ascii="Times New Roman" w:eastAsia="Times New Roman" w:hAnsi="Times New Roman" w:cs="Times New Roman"/>
                <w:sz w:val="24"/>
                <w:szCs w:val="24"/>
              </w:rPr>
            </w:pPr>
            <w:proofErr w:type="gramStart"/>
            <w:r w:rsidRPr="00E779D5">
              <w:rPr>
                <w:rFonts w:ascii="Times New Roman" w:eastAsia="Times New Roman" w:hAnsi="Times New Roman" w:cs="Times New Roman"/>
                <w:sz w:val="24"/>
                <w:szCs w:val="24"/>
                <w:lang w:eastAsia="ru-RU"/>
              </w:rPr>
              <w:t>Коли</w:t>
            </w:r>
            <w:r w:rsidR="00842EF5">
              <w:rPr>
                <w:rFonts w:ascii="Times New Roman" w:eastAsia="Times New Roman" w:hAnsi="Times New Roman" w:cs="Times New Roman"/>
                <w:sz w:val="24"/>
                <w:szCs w:val="24"/>
                <w:lang w:eastAsia="ru-RU"/>
              </w:rPr>
              <w:t>-</w:t>
            </w:r>
            <w:proofErr w:type="spellStart"/>
            <w:r w:rsidRPr="00E779D5">
              <w:rPr>
                <w:rFonts w:ascii="Times New Roman" w:eastAsia="Times New Roman" w:hAnsi="Times New Roman" w:cs="Times New Roman"/>
                <w:sz w:val="24"/>
                <w:szCs w:val="24"/>
                <w:lang w:eastAsia="ru-RU"/>
              </w:rPr>
              <w:t>чество</w:t>
            </w:r>
            <w:proofErr w:type="spellEnd"/>
            <w:proofErr w:type="gram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наруше</w:t>
            </w:r>
            <w:r w:rsidR="00842EF5">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ний</w:t>
            </w:r>
            <w:proofErr w:type="spellEnd"/>
          </w:p>
        </w:tc>
      </w:tr>
      <w:tr w:rsidR="00E779D5" w:rsidRPr="00E779D5" w:rsidTr="009A657E">
        <w:trPr>
          <w:trHeight w:val="1791"/>
        </w:trPr>
        <w:tc>
          <w:tcPr>
            <w:tcW w:w="540" w:type="dxa"/>
          </w:tcPr>
          <w:p w:rsidR="00E779D5" w:rsidRPr="00E779D5" w:rsidRDefault="00E779D5" w:rsidP="009A657E">
            <w:pPr>
              <w:spacing w:before="120" w:after="0" w:line="240" w:lineRule="exact"/>
              <w:jc w:val="center"/>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1</w:t>
            </w:r>
          </w:p>
        </w:tc>
        <w:tc>
          <w:tcPr>
            <w:tcW w:w="2206" w:type="dxa"/>
          </w:tcPr>
          <w:p w:rsidR="00E779D5" w:rsidRPr="00E779D5" w:rsidRDefault="00E779D5" w:rsidP="00842EF5">
            <w:pPr>
              <w:spacing w:before="120" w:after="0" w:line="240" w:lineRule="exact"/>
              <w:rPr>
                <w:rFonts w:ascii="Times New Roman" w:eastAsia="Times New Roman" w:hAnsi="Times New Roman" w:cs="Times New Roman"/>
                <w:bCs/>
                <w:sz w:val="24"/>
                <w:szCs w:val="24"/>
                <w:lang w:eastAsia="ru-RU"/>
              </w:rPr>
            </w:pPr>
            <w:r w:rsidRPr="00E779D5">
              <w:rPr>
                <w:rFonts w:ascii="Times New Roman" w:eastAsia="Times New Roman" w:hAnsi="Times New Roman" w:cs="Times New Roman"/>
                <w:bCs/>
                <w:sz w:val="24"/>
                <w:szCs w:val="24"/>
                <w:lang w:eastAsia="ru-RU"/>
              </w:rPr>
              <w:t xml:space="preserve">п.1.2.6 </w:t>
            </w:r>
            <w:r w:rsidRPr="00E779D5">
              <w:rPr>
                <w:rFonts w:ascii="Times New Roman" w:eastAsia="Times New Roman" w:hAnsi="Times New Roman" w:cs="Times New Roman"/>
                <w:sz w:val="24"/>
                <w:szCs w:val="24"/>
                <w:lang w:eastAsia="ru-RU"/>
              </w:rPr>
              <w:t>Нарушение порядка применения</w:t>
            </w:r>
            <w:r w:rsidRPr="00E779D5">
              <w:rPr>
                <w:rFonts w:ascii="Times New Roman" w:eastAsia="Times New Roman" w:hAnsi="Times New Roman" w:cs="Times New Roman"/>
                <w:bCs/>
                <w:sz w:val="24"/>
                <w:szCs w:val="24"/>
                <w:lang w:eastAsia="ru-RU"/>
              </w:rPr>
              <w:t xml:space="preserve"> </w:t>
            </w:r>
            <w:r w:rsidRPr="00E779D5">
              <w:rPr>
                <w:rFonts w:ascii="Times New Roman" w:eastAsia="Times New Roman" w:hAnsi="Times New Roman" w:cs="Times New Roman"/>
                <w:sz w:val="24"/>
                <w:szCs w:val="24"/>
                <w:lang w:eastAsia="ru-RU"/>
              </w:rPr>
              <w:t>бюджетной классификации Российской Федерации</w:t>
            </w:r>
          </w:p>
        </w:tc>
        <w:tc>
          <w:tcPr>
            <w:tcW w:w="3014"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Несоответствие целевых статей, в</w:t>
            </w:r>
            <w:r w:rsidRPr="00E779D5">
              <w:rPr>
                <w:rFonts w:ascii="Times New Roman" w:eastAsia="Times New Roman" w:hAnsi="Times New Roman" w:cs="Times New Roman"/>
                <w:bCs/>
                <w:sz w:val="24"/>
                <w:szCs w:val="24"/>
                <w:lang w:eastAsia="ru-RU"/>
              </w:rPr>
              <w:t xml:space="preserve"> ф.0503127</w:t>
            </w:r>
            <w:r w:rsidRPr="00E779D5">
              <w:rPr>
                <w:rFonts w:ascii="Times New Roman" w:eastAsia="Times New Roman" w:hAnsi="Times New Roman" w:cs="Times New Roman"/>
                <w:sz w:val="24"/>
                <w:szCs w:val="24"/>
                <w:lang w:eastAsia="ru-RU"/>
              </w:rPr>
              <w:t xml:space="preserve"> </w:t>
            </w:r>
            <w:proofErr w:type="spellStart"/>
            <w:proofErr w:type="gramStart"/>
            <w:r w:rsidRPr="00E779D5">
              <w:rPr>
                <w:rFonts w:ascii="Times New Roman" w:eastAsia="Times New Roman" w:hAnsi="Times New Roman" w:cs="Times New Roman"/>
                <w:sz w:val="24"/>
                <w:szCs w:val="24"/>
                <w:lang w:eastAsia="ru-RU"/>
              </w:rPr>
              <w:t>целе</w:t>
            </w:r>
            <w:r w:rsidR="00842EF5">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вым</w:t>
            </w:r>
            <w:proofErr w:type="spellEnd"/>
            <w:proofErr w:type="gramEnd"/>
            <w:r w:rsidRPr="00E779D5">
              <w:rPr>
                <w:rFonts w:ascii="Times New Roman" w:eastAsia="Times New Roman" w:hAnsi="Times New Roman" w:cs="Times New Roman"/>
                <w:sz w:val="24"/>
                <w:szCs w:val="24"/>
                <w:lang w:eastAsia="ru-RU"/>
              </w:rPr>
              <w:t xml:space="preserve"> статьям, </w:t>
            </w:r>
            <w:proofErr w:type="spellStart"/>
            <w:r w:rsidRPr="00E779D5">
              <w:rPr>
                <w:rFonts w:ascii="Times New Roman" w:eastAsia="Times New Roman" w:hAnsi="Times New Roman" w:cs="Times New Roman"/>
                <w:sz w:val="24"/>
                <w:szCs w:val="24"/>
                <w:lang w:eastAsia="ru-RU"/>
              </w:rPr>
              <w:t>предусмо</w:t>
            </w:r>
            <w:r w:rsidR="00842EF5">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тренным</w:t>
            </w:r>
            <w:proofErr w:type="spellEnd"/>
            <w:r w:rsidRPr="00E779D5">
              <w:rPr>
                <w:rFonts w:ascii="Times New Roman" w:eastAsia="Times New Roman" w:hAnsi="Times New Roman" w:cs="Times New Roman"/>
                <w:sz w:val="24"/>
                <w:szCs w:val="24"/>
                <w:lang w:eastAsia="ru-RU"/>
              </w:rPr>
              <w:t xml:space="preserve"> приложениями решения Думы округа «О бюджете сельского поселения на 2023 год и плановый период 2024 и 2025 годов»</w:t>
            </w:r>
          </w:p>
        </w:tc>
        <w:tc>
          <w:tcPr>
            <w:tcW w:w="1044"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1620"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995"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0,0</w:t>
            </w:r>
          </w:p>
        </w:tc>
        <w:tc>
          <w:tcPr>
            <w:tcW w:w="1638"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r w:rsidRPr="00E779D5">
              <w:rPr>
                <w:rFonts w:ascii="Times New Roman" w:eastAsia="Times New Roman" w:hAnsi="Times New Roman" w:cs="Times New Roman"/>
                <w:sz w:val="24"/>
                <w:szCs w:val="24"/>
                <w:lang w:eastAsia="ru-RU"/>
              </w:rPr>
              <w:t>Лычковское</w:t>
            </w:r>
            <w:r w:rsidR="00842EF5">
              <w:rPr>
                <w:rFonts w:ascii="Times New Roman" w:eastAsia="Times New Roman" w:hAnsi="Times New Roman" w:cs="Times New Roman"/>
                <w:sz w:val="24"/>
                <w:szCs w:val="24"/>
                <w:lang w:eastAsia="ru-RU"/>
              </w:rPr>
              <w:t xml:space="preserve">          </w:t>
            </w:r>
            <w:r w:rsidRPr="00E779D5">
              <w:rPr>
                <w:rFonts w:ascii="Times New Roman" w:eastAsia="Times New Roman" w:hAnsi="Times New Roman" w:cs="Times New Roman"/>
                <w:sz w:val="24"/>
                <w:szCs w:val="24"/>
                <w:lang w:eastAsia="ru-RU"/>
              </w:rPr>
              <w:t xml:space="preserve"> с/</w:t>
            </w:r>
            <w:proofErr w:type="gramStart"/>
            <w:r w:rsidRPr="00E779D5">
              <w:rPr>
                <w:rFonts w:ascii="Times New Roman" w:eastAsia="Times New Roman" w:hAnsi="Times New Roman" w:cs="Times New Roman"/>
                <w:sz w:val="24"/>
                <w:szCs w:val="24"/>
                <w:lang w:eastAsia="ru-RU"/>
              </w:rPr>
              <w:t>п</w:t>
            </w:r>
            <w:proofErr w:type="gramEnd"/>
            <w:r w:rsidRPr="00E779D5">
              <w:rPr>
                <w:rFonts w:ascii="Times New Roman" w:eastAsia="Times New Roman" w:hAnsi="Times New Roman" w:cs="Times New Roman"/>
                <w:sz w:val="24"/>
                <w:szCs w:val="24"/>
                <w:lang w:eastAsia="ru-RU"/>
              </w:rPr>
              <w:t xml:space="preserve"> -1</w:t>
            </w:r>
          </w:p>
        </w:tc>
        <w:tc>
          <w:tcPr>
            <w:tcW w:w="992"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1260"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w:t>
            </w:r>
          </w:p>
        </w:tc>
      </w:tr>
      <w:tr w:rsidR="00E779D5" w:rsidRPr="00E779D5" w:rsidTr="009A657E">
        <w:trPr>
          <w:trHeight w:val="2170"/>
        </w:trPr>
        <w:tc>
          <w:tcPr>
            <w:tcW w:w="540" w:type="dxa"/>
          </w:tcPr>
          <w:p w:rsidR="00E779D5" w:rsidRPr="00E779D5" w:rsidRDefault="00E779D5" w:rsidP="009A657E">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lastRenderedPageBreak/>
              <w:t>2</w:t>
            </w:r>
          </w:p>
        </w:tc>
        <w:tc>
          <w:tcPr>
            <w:tcW w:w="2206" w:type="dxa"/>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lang w:eastAsia="ru-RU"/>
              </w:rPr>
              <w:t>п. 1.2.59</w:t>
            </w:r>
            <w:r w:rsidRPr="00E779D5">
              <w:rPr>
                <w:rFonts w:ascii="Times New Roman" w:eastAsia="Times New Roman" w:hAnsi="Times New Roman" w:cs="Times New Roman"/>
                <w:sz w:val="24"/>
                <w:szCs w:val="24"/>
                <w:lang w:eastAsia="ru-RU"/>
              </w:rPr>
              <w:t xml:space="preserve"> Принятие бюджетных обязательств в размерах, превышающих утвержденные бюджетные ассигнования и (или) лимиты бюджетных обязательств</w:t>
            </w:r>
          </w:p>
        </w:tc>
        <w:tc>
          <w:tcPr>
            <w:tcW w:w="3014"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Принятие бюджетных обязательств в размерах, превышающих утвержденные бюджетные ассигнования и (или) лимиты бюджетных обязательств</w:t>
            </w:r>
          </w:p>
        </w:tc>
        <w:tc>
          <w:tcPr>
            <w:tcW w:w="1044"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0,04</w:t>
            </w:r>
          </w:p>
        </w:tc>
        <w:tc>
          <w:tcPr>
            <w:tcW w:w="1620"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w:t>
            </w: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Комитет по образованию</w:t>
            </w:r>
          </w:p>
        </w:tc>
        <w:tc>
          <w:tcPr>
            <w:tcW w:w="995"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2,4</w:t>
            </w: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9,2</w:t>
            </w:r>
          </w:p>
        </w:tc>
        <w:tc>
          <w:tcPr>
            <w:tcW w:w="1638"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Ильиногорское с/п-1</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roofErr w:type="spellStart"/>
            <w:r w:rsidRPr="00E779D5">
              <w:rPr>
                <w:rFonts w:ascii="Times New Roman" w:eastAsia="Times New Roman" w:hAnsi="Times New Roman" w:cs="Times New Roman"/>
                <w:sz w:val="24"/>
                <w:szCs w:val="24"/>
                <w:lang w:eastAsia="ru-RU"/>
              </w:rPr>
              <w:t>Ямникское</w:t>
            </w:r>
            <w:proofErr w:type="spellEnd"/>
            <w:r w:rsidRPr="00E779D5">
              <w:rPr>
                <w:rFonts w:ascii="Times New Roman" w:eastAsia="Times New Roman" w:hAnsi="Times New Roman" w:cs="Times New Roman"/>
                <w:sz w:val="24"/>
                <w:szCs w:val="24"/>
                <w:lang w:eastAsia="ru-RU"/>
              </w:rPr>
              <w:t xml:space="preserve"> с/п-1</w:t>
            </w:r>
          </w:p>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992"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1260"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11,64</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3</w:t>
            </w:r>
          </w:p>
        </w:tc>
      </w:tr>
      <w:tr w:rsidR="00E779D5" w:rsidRPr="00E779D5" w:rsidTr="009A657E">
        <w:trPr>
          <w:trHeight w:val="2170"/>
        </w:trPr>
        <w:tc>
          <w:tcPr>
            <w:tcW w:w="540" w:type="dxa"/>
          </w:tcPr>
          <w:p w:rsidR="00E779D5" w:rsidRPr="00E779D5" w:rsidRDefault="00E779D5" w:rsidP="009A657E">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3</w:t>
            </w:r>
          </w:p>
        </w:tc>
        <w:tc>
          <w:tcPr>
            <w:tcW w:w="2206" w:type="dxa"/>
          </w:tcPr>
          <w:p w:rsidR="00E779D5" w:rsidRPr="00E779D5" w:rsidRDefault="00E779D5" w:rsidP="00842EF5">
            <w:pPr>
              <w:spacing w:before="120" w:after="0" w:line="240" w:lineRule="exact"/>
              <w:rPr>
                <w:rFonts w:ascii="Times New Roman" w:eastAsia="Times New Roman" w:hAnsi="Times New Roman" w:cs="Times New Roman"/>
                <w:bCs/>
                <w:sz w:val="24"/>
                <w:szCs w:val="24"/>
                <w:lang w:eastAsia="ru-RU"/>
              </w:rPr>
            </w:pPr>
            <w:r w:rsidRPr="00E779D5">
              <w:rPr>
                <w:rFonts w:ascii="Times New Roman" w:eastAsia="Times New Roman" w:hAnsi="Times New Roman" w:cs="Times New Roman"/>
                <w:bCs/>
                <w:sz w:val="24"/>
                <w:szCs w:val="24"/>
                <w:lang w:eastAsia="ru-RU"/>
              </w:rPr>
              <w:t xml:space="preserve">п. 1.2.101 </w:t>
            </w:r>
            <w:r w:rsidRPr="00E779D5">
              <w:rPr>
                <w:rFonts w:ascii="Times New Roman" w:eastAsia="Times New Roman" w:hAnsi="Times New Roman" w:cs="Times New Roman"/>
                <w:sz w:val="24"/>
                <w:szCs w:val="24"/>
                <w:lang w:eastAsia="ru-RU"/>
              </w:rPr>
              <w:t>Нарушения при выполнении или невыполнение государственных (муниципальных) задач и функций государственными органами</w:t>
            </w:r>
            <w:r w:rsidRPr="00E779D5" w:rsidDel="001C7CEB">
              <w:rPr>
                <w:rFonts w:ascii="Times New Roman" w:eastAsia="Times New Roman" w:hAnsi="Times New Roman" w:cs="Times New Roman"/>
                <w:sz w:val="24"/>
                <w:szCs w:val="24"/>
                <w:lang w:eastAsia="ru-RU"/>
              </w:rPr>
              <w:t xml:space="preserve"> </w:t>
            </w:r>
            <w:r w:rsidRPr="00E779D5">
              <w:rPr>
                <w:rFonts w:ascii="Times New Roman" w:eastAsia="Times New Roman" w:hAnsi="Times New Roman" w:cs="Times New Roman"/>
                <w:sz w:val="24"/>
                <w:szCs w:val="24"/>
                <w:lang w:eastAsia="ru-RU"/>
              </w:rPr>
              <w:t xml:space="preserve">и </w:t>
            </w:r>
            <w:proofErr w:type="spellStart"/>
            <w:proofErr w:type="gramStart"/>
            <w:r w:rsidRPr="00E779D5">
              <w:rPr>
                <w:rFonts w:ascii="Times New Roman" w:eastAsia="Times New Roman" w:hAnsi="Times New Roman" w:cs="Times New Roman"/>
                <w:sz w:val="24"/>
                <w:szCs w:val="24"/>
                <w:lang w:eastAsia="ru-RU"/>
              </w:rPr>
              <w:t>орга</w:t>
            </w:r>
            <w:proofErr w:type="spellEnd"/>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нами</w:t>
            </w:r>
            <w:proofErr w:type="gramEnd"/>
            <w:r w:rsidRPr="00E779D5">
              <w:rPr>
                <w:rFonts w:ascii="Times New Roman" w:eastAsia="Times New Roman" w:hAnsi="Times New Roman" w:cs="Times New Roman"/>
                <w:sz w:val="24"/>
                <w:szCs w:val="24"/>
                <w:lang w:eastAsia="ru-RU"/>
              </w:rPr>
              <w:t xml:space="preserve"> местного самоуправления, органами </w:t>
            </w:r>
            <w:proofErr w:type="spellStart"/>
            <w:r w:rsidRPr="00E779D5">
              <w:rPr>
                <w:rFonts w:ascii="Times New Roman" w:eastAsia="Times New Roman" w:hAnsi="Times New Roman" w:cs="Times New Roman"/>
                <w:sz w:val="24"/>
                <w:szCs w:val="24"/>
                <w:lang w:eastAsia="ru-RU"/>
              </w:rPr>
              <w:t>госу</w:t>
            </w:r>
            <w:proofErr w:type="spellEnd"/>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дарственных вне</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бюджетных фон</w:t>
            </w:r>
            <w:r w:rsidR="009A657E">
              <w:rPr>
                <w:rFonts w:ascii="Times New Roman" w:eastAsia="Times New Roman" w:hAnsi="Times New Roman" w:cs="Times New Roman"/>
                <w:sz w:val="24"/>
                <w:szCs w:val="24"/>
                <w:lang w:eastAsia="ru-RU"/>
              </w:rPr>
              <w:t>-</w:t>
            </w:r>
            <w:proofErr w:type="spellStart"/>
            <w:r w:rsidRPr="00E779D5">
              <w:rPr>
                <w:rFonts w:ascii="Times New Roman" w:eastAsia="Times New Roman" w:hAnsi="Times New Roman" w:cs="Times New Roman"/>
                <w:sz w:val="24"/>
                <w:szCs w:val="24"/>
                <w:lang w:eastAsia="ru-RU"/>
              </w:rPr>
              <w:t>дов</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государствен</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ными</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муниципа</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льными</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казен</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ными</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учрежде</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ниями</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государс</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твенными</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муни</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ципальными</w:t>
            </w:r>
            <w:proofErr w:type="spellEnd"/>
            <w:r w:rsidRPr="00E779D5">
              <w:rPr>
                <w:rFonts w:ascii="Times New Roman" w:eastAsia="Times New Roman" w:hAnsi="Times New Roman" w:cs="Times New Roman"/>
                <w:sz w:val="24"/>
                <w:szCs w:val="24"/>
                <w:lang w:eastAsia="ru-RU"/>
              </w:rPr>
              <w:t xml:space="preserve">) </w:t>
            </w:r>
            <w:proofErr w:type="spellStart"/>
            <w:r w:rsidRPr="00E779D5">
              <w:rPr>
                <w:rFonts w:ascii="Times New Roman" w:eastAsia="Times New Roman" w:hAnsi="Times New Roman" w:cs="Times New Roman"/>
                <w:sz w:val="24"/>
                <w:szCs w:val="24"/>
                <w:lang w:eastAsia="ru-RU"/>
              </w:rPr>
              <w:t>бюд</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жетными</w:t>
            </w:r>
            <w:proofErr w:type="spellEnd"/>
            <w:r w:rsidRPr="00E779D5">
              <w:rPr>
                <w:rFonts w:ascii="Times New Roman" w:eastAsia="Times New Roman" w:hAnsi="Times New Roman" w:cs="Times New Roman"/>
                <w:sz w:val="24"/>
                <w:szCs w:val="24"/>
                <w:lang w:eastAsia="ru-RU"/>
              </w:rPr>
              <w:t xml:space="preserve"> и </w:t>
            </w:r>
            <w:proofErr w:type="spellStart"/>
            <w:r w:rsidRPr="00E779D5">
              <w:rPr>
                <w:rFonts w:ascii="Times New Roman" w:eastAsia="Times New Roman" w:hAnsi="Times New Roman" w:cs="Times New Roman"/>
                <w:sz w:val="24"/>
                <w:szCs w:val="24"/>
                <w:lang w:eastAsia="ru-RU"/>
              </w:rPr>
              <w:t>госу</w:t>
            </w:r>
            <w:proofErr w:type="spellEnd"/>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 xml:space="preserve">дарственными (муниципальными) автономными </w:t>
            </w:r>
            <w:r w:rsidRPr="00E779D5">
              <w:rPr>
                <w:rFonts w:ascii="Times New Roman" w:eastAsia="Times New Roman" w:hAnsi="Times New Roman" w:cs="Times New Roman"/>
                <w:sz w:val="24"/>
                <w:szCs w:val="24"/>
                <w:lang w:eastAsia="ru-RU"/>
              </w:rPr>
              <w:lastRenderedPageBreak/>
              <w:t>учреждениями, государственными корпорациями (компаниями), публично-право</w:t>
            </w:r>
            <w:r w:rsidR="009A657E">
              <w:rPr>
                <w:rFonts w:ascii="Times New Roman" w:eastAsia="Times New Roman" w:hAnsi="Times New Roman" w:cs="Times New Roman"/>
                <w:sz w:val="24"/>
                <w:szCs w:val="24"/>
                <w:lang w:eastAsia="ru-RU"/>
              </w:rPr>
              <w:t>-</w:t>
            </w:r>
            <w:proofErr w:type="spellStart"/>
            <w:r w:rsidRPr="00E779D5">
              <w:rPr>
                <w:rFonts w:ascii="Times New Roman" w:eastAsia="Times New Roman" w:hAnsi="Times New Roman" w:cs="Times New Roman"/>
                <w:sz w:val="24"/>
                <w:szCs w:val="24"/>
                <w:lang w:eastAsia="ru-RU"/>
              </w:rPr>
              <w:t>выми</w:t>
            </w:r>
            <w:proofErr w:type="spellEnd"/>
            <w:r w:rsidRPr="00E779D5">
              <w:rPr>
                <w:rFonts w:ascii="Times New Roman" w:eastAsia="Times New Roman" w:hAnsi="Times New Roman" w:cs="Times New Roman"/>
                <w:sz w:val="24"/>
                <w:szCs w:val="24"/>
                <w:lang w:eastAsia="ru-RU"/>
              </w:rPr>
              <w:t xml:space="preserve"> компаниями (за исключением нарушений, </w:t>
            </w:r>
            <w:proofErr w:type="spellStart"/>
            <w:r w:rsidRPr="00E779D5">
              <w:rPr>
                <w:rFonts w:ascii="Times New Roman" w:eastAsia="Times New Roman" w:hAnsi="Times New Roman" w:cs="Times New Roman"/>
                <w:sz w:val="24"/>
                <w:szCs w:val="24"/>
                <w:lang w:eastAsia="ru-RU"/>
              </w:rPr>
              <w:t>ука</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занных</w:t>
            </w:r>
            <w:proofErr w:type="spellEnd"/>
            <w:r w:rsidRPr="00E779D5">
              <w:rPr>
                <w:rFonts w:ascii="Times New Roman" w:eastAsia="Times New Roman" w:hAnsi="Times New Roman" w:cs="Times New Roman"/>
                <w:sz w:val="24"/>
                <w:szCs w:val="24"/>
                <w:lang w:eastAsia="ru-RU"/>
              </w:rPr>
              <w:t xml:space="preserve"> в иных пунктах классификатора)</w:t>
            </w:r>
          </w:p>
        </w:tc>
        <w:tc>
          <w:tcPr>
            <w:tcW w:w="3014"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lastRenderedPageBreak/>
              <w:t xml:space="preserve">Несоответствие площадей учитываемых </w:t>
            </w:r>
            <w:proofErr w:type="gramStart"/>
            <w:r w:rsidRPr="00E779D5">
              <w:rPr>
                <w:rFonts w:ascii="Times New Roman" w:eastAsia="Times New Roman" w:hAnsi="Times New Roman" w:cs="Times New Roman"/>
                <w:sz w:val="24"/>
                <w:szCs w:val="24"/>
                <w:lang w:eastAsia="ru-RU"/>
              </w:rPr>
              <w:t>при расчете средств на возмещение затрат в связи с оказанием услуги по содержанию</w:t>
            </w:r>
            <w:proofErr w:type="gramEnd"/>
            <w:r w:rsidRPr="00E779D5">
              <w:rPr>
                <w:rFonts w:ascii="Times New Roman" w:eastAsia="Times New Roman" w:hAnsi="Times New Roman" w:cs="Times New Roman"/>
                <w:sz w:val="24"/>
                <w:szCs w:val="24"/>
                <w:lang w:eastAsia="ru-RU"/>
              </w:rPr>
              <w:t xml:space="preserve"> жилищного фонда, площадям, отраженным  в Перечне многоквартирных домов и технических паспортах жилых помещений</w:t>
            </w:r>
          </w:p>
        </w:tc>
        <w:tc>
          <w:tcPr>
            <w:tcW w:w="1044"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p>
        </w:tc>
        <w:tc>
          <w:tcPr>
            <w:tcW w:w="1620"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p>
        </w:tc>
        <w:tc>
          <w:tcPr>
            <w:tcW w:w="995"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
        </w:tc>
        <w:tc>
          <w:tcPr>
            <w:tcW w:w="1638"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
        </w:tc>
        <w:tc>
          <w:tcPr>
            <w:tcW w:w="992"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w:t>
            </w:r>
          </w:p>
        </w:tc>
        <w:tc>
          <w:tcPr>
            <w:tcW w:w="1260"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11</w:t>
            </w: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11</w:t>
            </w:r>
          </w:p>
        </w:tc>
      </w:tr>
      <w:tr w:rsidR="00E779D5" w:rsidRPr="00E779D5" w:rsidTr="009A657E">
        <w:trPr>
          <w:trHeight w:val="2690"/>
        </w:trPr>
        <w:tc>
          <w:tcPr>
            <w:tcW w:w="540" w:type="dxa"/>
          </w:tcPr>
          <w:p w:rsidR="00E779D5" w:rsidRPr="00E779D5" w:rsidRDefault="00E779D5" w:rsidP="009A657E">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lastRenderedPageBreak/>
              <w:t>4</w:t>
            </w:r>
          </w:p>
        </w:tc>
        <w:tc>
          <w:tcPr>
            <w:tcW w:w="2206" w:type="dxa"/>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lang w:eastAsia="ru-RU"/>
              </w:rPr>
              <w:t>п.2.3</w:t>
            </w:r>
            <w:r w:rsidRPr="00E779D5">
              <w:rPr>
                <w:rFonts w:ascii="Times New Roman" w:eastAsia="Times New Roman" w:hAnsi="Times New Roman" w:cs="Times New Roman"/>
                <w:sz w:val="24"/>
                <w:szCs w:val="24"/>
                <w:lang w:eastAsia="ru-RU"/>
              </w:rPr>
              <w:t xml:space="preserve"> Нарушение требований, предъявляемых к регистру бухгалтерского учета</w:t>
            </w:r>
          </w:p>
        </w:tc>
        <w:tc>
          <w:tcPr>
            <w:tcW w:w="3014" w:type="dxa"/>
          </w:tcPr>
          <w:p w:rsidR="00E779D5" w:rsidRPr="00E779D5" w:rsidRDefault="009A657E" w:rsidP="00842EF5">
            <w:pPr>
              <w:spacing w:before="120"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Отсутствие Главной книги – основного сводного регистра бухгалтерского </w:t>
            </w:r>
            <w:r w:rsidR="00E779D5" w:rsidRPr="00E779D5">
              <w:rPr>
                <w:rFonts w:ascii="Times New Roman" w:eastAsia="Times New Roman" w:hAnsi="Times New Roman" w:cs="Times New Roman"/>
                <w:sz w:val="24"/>
                <w:szCs w:val="24"/>
                <w:lang w:eastAsia="ru-RU"/>
              </w:rPr>
              <w:t>учета, отражающего данные</w:t>
            </w:r>
            <w:r>
              <w:rPr>
                <w:rFonts w:ascii="Times New Roman" w:eastAsia="Times New Roman" w:hAnsi="Times New Roman" w:cs="Times New Roman"/>
                <w:sz w:val="24"/>
                <w:szCs w:val="24"/>
                <w:lang w:eastAsia="ru-RU"/>
              </w:rPr>
              <w:t xml:space="preserve"> за отчетный год по всем счетам </w:t>
            </w:r>
            <w:proofErr w:type="spellStart"/>
            <w:proofErr w:type="gramStart"/>
            <w:r>
              <w:rPr>
                <w:rFonts w:ascii="Times New Roman" w:eastAsia="Times New Roman" w:hAnsi="Times New Roman" w:cs="Times New Roman"/>
                <w:sz w:val="24"/>
                <w:szCs w:val="24"/>
                <w:lang w:eastAsia="ru-RU"/>
              </w:rPr>
              <w:t>бухгал</w:t>
            </w:r>
            <w:proofErr w:type="spellEnd"/>
            <w:r>
              <w:rPr>
                <w:rFonts w:ascii="Times New Roman" w:eastAsia="Times New Roman" w:hAnsi="Times New Roman" w:cs="Times New Roman"/>
                <w:sz w:val="24"/>
                <w:szCs w:val="24"/>
                <w:lang w:eastAsia="ru-RU"/>
              </w:rPr>
              <w:t>-терского</w:t>
            </w:r>
            <w:proofErr w:type="gramEnd"/>
            <w:r>
              <w:rPr>
                <w:rFonts w:ascii="Times New Roman" w:eastAsia="Times New Roman" w:hAnsi="Times New Roman" w:cs="Times New Roman"/>
                <w:sz w:val="24"/>
                <w:szCs w:val="24"/>
                <w:lang w:eastAsia="ru-RU"/>
              </w:rPr>
              <w:t xml:space="preserve"> </w:t>
            </w:r>
            <w:r w:rsidR="00E779D5" w:rsidRPr="00E779D5">
              <w:rPr>
                <w:rFonts w:ascii="Times New Roman" w:eastAsia="Times New Roman" w:hAnsi="Times New Roman" w:cs="Times New Roman"/>
                <w:sz w:val="24"/>
                <w:szCs w:val="24"/>
                <w:lang w:eastAsia="ru-RU"/>
              </w:rPr>
              <w:t>учета (Статья 10 Федерально</w:t>
            </w:r>
            <w:r>
              <w:rPr>
                <w:rFonts w:ascii="Times New Roman" w:eastAsia="Times New Roman" w:hAnsi="Times New Roman" w:cs="Times New Roman"/>
                <w:sz w:val="24"/>
                <w:szCs w:val="24"/>
                <w:lang w:eastAsia="ru-RU"/>
              </w:rPr>
              <w:t>го закона от    06 декабря 2011 г. №</w:t>
            </w:r>
            <w:r w:rsidR="00E779D5" w:rsidRPr="00E779D5">
              <w:rPr>
                <w:rFonts w:ascii="Times New Roman" w:eastAsia="Times New Roman" w:hAnsi="Times New Roman" w:cs="Times New Roman"/>
                <w:sz w:val="24"/>
                <w:szCs w:val="24"/>
                <w:lang w:eastAsia="ru-RU"/>
              </w:rPr>
              <w:t xml:space="preserve"> 402-ФЗ «О бухгалтерском учете»); расхождения данных годовых форм с данными Главной книги</w:t>
            </w:r>
          </w:p>
        </w:tc>
        <w:tc>
          <w:tcPr>
            <w:tcW w:w="1044"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p>
        </w:tc>
        <w:tc>
          <w:tcPr>
            <w:tcW w:w="1620"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p>
        </w:tc>
        <w:tc>
          <w:tcPr>
            <w:tcW w:w="995"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0,0</w:t>
            </w:r>
          </w:p>
        </w:tc>
        <w:tc>
          <w:tcPr>
            <w:tcW w:w="1638" w:type="dxa"/>
          </w:tcPr>
          <w:p w:rsidR="00E779D5" w:rsidRPr="00E779D5" w:rsidRDefault="00E779D5" w:rsidP="009A657E">
            <w:pPr>
              <w:spacing w:before="120" w:after="0" w:line="240" w:lineRule="exact"/>
              <w:rPr>
                <w:rFonts w:ascii="Times New Roman" w:eastAsia="Times New Roman" w:hAnsi="Times New Roman" w:cs="Times New Roman"/>
                <w:sz w:val="24"/>
                <w:szCs w:val="24"/>
              </w:rPr>
            </w:pPr>
            <w:proofErr w:type="spellStart"/>
            <w:r w:rsidRPr="00E779D5">
              <w:rPr>
                <w:rFonts w:ascii="Times New Roman" w:eastAsia="Times New Roman" w:hAnsi="Times New Roman" w:cs="Times New Roman"/>
                <w:sz w:val="24"/>
                <w:szCs w:val="24"/>
                <w:lang w:eastAsia="ru-RU"/>
              </w:rPr>
              <w:t>Полновское</w:t>
            </w:r>
            <w:proofErr w:type="spellEnd"/>
            <w:r w:rsidRPr="00E779D5">
              <w:rPr>
                <w:rFonts w:ascii="Times New Roman" w:eastAsia="Times New Roman" w:hAnsi="Times New Roman" w:cs="Times New Roman"/>
                <w:sz w:val="24"/>
                <w:szCs w:val="24"/>
                <w:lang w:eastAsia="ru-RU"/>
              </w:rPr>
              <w:t xml:space="preserve"> с/п-1</w:t>
            </w:r>
          </w:p>
        </w:tc>
        <w:tc>
          <w:tcPr>
            <w:tcW w:w="992"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1260"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w:t>
            </w:r>
          </w:p>
        </w:tc>
      </w:tr>
      <w:tr w:rsidR="00E779D5" w:rsidRPr="00E779D5" w:rsidTr="009A657E">
        <w:trPr>
          <w:trHeight w:val="2111"/>
        </w:trPr>
        <w:tc>
          <w:tcPr>
            <w:tcW w:w="540" w:type="dxa"/>
          </w:tcPr>
          <w:p w:rsidR="00E779D5" w:rsidRPr="00E779D5" w:rsidRDefault="00E779D5" w:rsidP="009A657E">
            <w:pPr>
              <w:spacing w:before="120" w:after="0" w:line="240" w:lineRule="exact"/>
              <w:jc w:val="center"/>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5</w:t>
            </w:r>
          </w:p>
        </w:tc>
        <w:tc>
          <w:tcPr>
            <w:tcW w:w="2206" w:type="dxa"/>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lang w:eastAsia="ru-RU"/>
              </w:rPr>
              <w:t>п.2.9</w:t>
            </w:r>
            <w:r w:rsidRPr="00E779D5">
              <w:rPr>
                <w:rFonts w:ascii="Times New Roman" w:eastAsia="Times New Roman" w:hAnsi="Times New Roman" w:cs="Times New Roman"/>
                <w:sz w:val="24"/>
                <w:szCs w:val="24"/>
                <w:lang w:eastAsia="ru-RU"/>
              </w:rPr>
              <w:t xml:space="preserve"> Нарушение общих требований к бухгалтерской (финансовой) отчетности экономического субъекта, в том числе к ее составу</w:t>
            </w:r>
          </w:p>
          <w:p w:rsidR="00E779D5" w:rsidRPr="00E779D5" w:rsidRDefault="00E779D5" w:rsidP="00842EF5">
            <w:pPr>
              <w:spacing w:before="120" w:after="0" w:line="240" w:lineRule="exact"/>
              <w:rPr>
                <w:rFonts w:ascii="Times New Roman" w:eastAsia="Times New Roman" w:hAnsi="Times New Roman" w:cs="Times New Roman"/>
                <w:bCs/>
                <w:sz w:val="24"/>
                <w:szCs w:val="24"/>
              </w:rPr>
            </w:pPr>
          </w:p>
        </w:tc>
        <w:tc>
          <w:tcPr>
            <w:tcW w:w="3014"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 xml:space="preserve">Нарушение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w:t>
            </w:r>
          </w:p>
        </w:tc>
        <w:tc>
          <w:tcPr>
            <w:tcW w:w="1044"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w:t>
            </w:r>
          </w:p>
        </w:tc>
        <w:tc>
          <w:tcPr>
            <w:tcW w:w="1620" w:type="dxa"/>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1</w:t>
            </w: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(Пояснительная записка ф.0503160 содержит ссылку на утратившую силу форму)- Управление культуры;</w:t>
            </w:r>
          </w:p>
          <w:p w:rsidR="009A657E" w:rsidRDefault="009A657E" w:rsidP="00842EF5">
            <w:pPr>
              <w:spacing w:before="120" w:after="0" w:line="240" w:lineRule="exact"/>
              <w:rPr>
                <w:rFonts w:ascii="Times New Roman" w:eastAsia="Times New Roman" w:hAnsi="Times New Roman" w:cs="Times New Roman"/>
                <w:sz w:val="24"/>
                <w:szCs w:val="24"/>
              </w:rPr>
            </w:pP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lastRenderedPageBreak/>
              <w:t>1</w:t>
            </w: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w:t>
            </w:r>
            <w:proofErr w:type="gramStart"/>
            <w:r w:rsidRPr="00E779D5">
              <w:rPr>
                <w:rFonts w:ascii="Times New Roman" w:eastAsia="Times New Roman" w:hAnsi="Times New Roman" w:cs="Times New Roman"/>
                <w:sz w:val="24"/>
                <w:szCs w:val="24"/>
              </w:rPr>
              <w:t>Не верное</w:t>
            </w:r>
            <w:proofErr w:type="gramEnd"/>
            <w:r w:rsidRPr="00E779D5">
              <w:rPr>
                <w:rFonts w:ascii="Times New Roman" w:eastAsia="Times New Roman" w:hAnsi="Times New Roman" w:cs="Times New Roman"/>
                <w:sz w:val="24"/>
                <w:szCs w:val="24"/>
              </w:rPr>
              <w:t xml:space="preserve"> заполнение ф.0503164)- Комитет финансов</w:t>
            </w:r>
          </w:p>
        </w:tc>
        <w:tc>
          <w:tcPr>
            <w:tcW w:w="995"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lang w:eastAsia="ru-RU"/>
              </w:rPr>
              <w:t>0,0</w:t>
            </w:r>
          </w:p>
        </w:tc>
        <w:tc>
          <w:tcPr>
            <w:tcW w:w="1638"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Ильиногорское с/</w:t>
            </w:r>
            <w:proofErr w:type="gramStart"/>
            <w:r w:rsidRPr="00E779D5">
              <w:rPr>
                <w:rFonts w:ascii="Times New Roman" w:eastAsia="Times New Roman" w:hAnsi="Times New Roman" w:cs="Times New Roman"/>
                <w:sz w:val="24"/>
                <w:szCs w:val="24"/>
                <w:lang w:eastAsia="ru-RU"/>
              </w:rPr>
              <w:t>п</w:t>
            </w:r>
            <w:proofErr w:type="gramEnd"/>
            <w:r w:rsidRPr="00E779D5">
              <w:rPr>
                <w:rFonts w:ascii="Times New Roman" w:eastAsia="Times New Roman" w:hAnsi="Times New Roman" w:cs="Times New Roman"/>
                <w:sz w:val="24"/>
                <w:szCs w:val="24"/>
                <w:lang w:eastAsia="ru-RU"/>
              </w:rPr>
              <w:t xml:space="preserve"> – 3</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roofErr w:type="spellStart"/>
            <w:r w:rsidRPr="00E779D5">
              <w:rPr>
                <w:rFonts w:ascii="Times New Roman" w:eastAsia="Times New Roman" w:hAnsi="Times New Roman" w:cs="Times New Roman"/>
                <w:sz w:val="24"/>
                <w:szCs w:val="24"/>
                <w:lang w:eastAsia="ru-RU"/>
              </w:rPr>
              <w:t>Кневицкое</w:t>
            </w:r>
            <w:proofErr w:type="spellEnd"/>
            <w:r w:rsidRPr="00E779D5">
              <w:rPr>
                <w:rFonts w:ascii="Times New Roman" w:eastAsia="Times New Roman" w:hAnsi="Times New Roman" w:cs="Times New Roman"/>
                <w:sz w:val="24"/>
                <w:szCs w:val="24"/>
                <w:lang w:eastAsia="ru-RU"/>
              </w:rPr>
              <w:t xml:space="preserve"> с/</w:t>
            </w:r>
            <w:proofErr w:type="gramStart"/>
            <w:r w:rsidRPr="00E779D5">
              <w:rPr>
                <w:rFonts w:ascii="Times New Roman" w:eastAsia="Times New Roman" w:hAnsi="Times New Roman" w:cs="Times New Roman"/>
                <w:sz w:val="24"/>
                <w:szCs w:val="24"/>
                <w:lang w:eastAsia="ru-RU"/>
              </w:rPr>
              <w:t>п</w:t>
            </w:r>
            <w:proofErr w:type="gramEnd"/>
            <w:r w:rsidRPr="00E779D5">
              <w:rPr>
                <w:rFonts w:ascii="Times New Roman" w:eastAsia="Times New Roman" w:hAnsi="Times New Roman" w:cs="Times New Roman"/>
                <w:sz w:val="24"/>
                <w:szCs w:val="24"/>
                <w:lang w:eastAsia="ru-RU"/>
              </w:rPr>
              <w:t xml:space="preserve"> -2</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Лычковское с/</w:t>
            </w:r>
            <w:proofErr w:type="gramStart"/>
            <w:r w:rsidRPr="00E779D5">
              <w:rPr>
                <w:rFonts w:ascii="Times New Roman" w:eastAsia="Times New Roman" w:hAnsi="Times New Roman" w:cs="Times New Roman"/>
                <w:sz w:val="24"/>
                <w:szCs w:val="24"/>
                <w:lang w:eastAsia="ru-RU"/>
              </w:rPr>
              <w:t>п</w:t>
            </w:r>
            <w:proofErr w:type="gramEnd"/>
            <w:r w:rsidRPr="00E779D5">
              <w:rPr>
                <w:rFonts w:ascii="Times New Roman" w:eastAsia="Times New Roman" w:hAnsi="Times New Roman" w:cs="Times New Roman"/>
                <w:sz w:val="24"/>
                <w:szCs w:val="24"/>
                <w:lang w:eastAsia="ru-RU"/>
              </w:rPr>
              <w:t xml:space="preserve"> -8</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roofErr w:type="spellStart"/>
            <w:r w:rsidRPr="00E779D5">
              <w:rPr>
                <w:rFonts w:ascii="Times New Roman" w:eastAsia="Times New Roman" w:hAnsi="Times New Roman" w:cs="Times New Roman"/>
                <w:sz w:val="24"/>
                <w:szCs w:val="24"/>
                <w:lang w:eastAsia="ru-RU"/>
              </w:rPr>
              <w:t>Ямникское</w:t>
            </w:r>
            <w:proofErr w:type="spellEnd"/>
            <w:r w:rsidRPr="00E779D5">
              <w:rPr>
                <w:rFonts w:ascii="Times New Roman" w:eastAsia="Times New Roman" w:hAnsi="Times New Roman" w:cs="Times New Roman"/>
                <w:sz w:val="24"/>
                <w:szCs w:val="24"/>
                <w:lang w:eastAsia="ru-RU"/>
              </w:rPr>
              <w:t xml:space="preserve"> с/п-9</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roofErr w:type="spellStart"/>
            <w:r w:rsidRPr="00E779D5">
              <w:rPr>
                <w:rFonts w:ascii="Times New Roman" w:eastAsia="Times New Roman" w:hAnsi="Times New Roman" w:cs="Times New Roman"/>
                <w:sz w:val="24"/>
                <w:szCs w:val="24"/>
                <w:lang w:eastAsia="ru-RU"/>
              </w:rPr>
              <w:t>Песоцкое</w:t>
            </w:r>
            <w:proofErr w:type="spellEnd"/>
            <w:r w:rsidRPr="00E779D5">
              <w:rPr>
                <w:rFonts w:ascii="Times New Roman" w:eastAsia="Times New Roman" w:hAnsi="Times New Roman" w:cs="Times New Roman"/>
                <w:sz w:val="24"/>
                <w:szCs w:val="24"/>
                <w:lang w:eastAsia="ru-RU"/>
              </w:rPr>
              <w:t xml:space="preserve"> </w:t>
            </w:r>
            <w:r w:rsidR="009A657E">
              <w:rPr>
                <w:rFonts w:ascii="Times New Roman" w:eastAsia="Times New Roman" w:hAnsi="Times New Roman" w:cs="Times New Roman"/>
                <w:sz w:val="24"/>
                <w:szCs w:val="24"/>
                <w:lang w:eastAsia="ru-RU"/>
              </w:rPr>
              <w:t xml:space="preserve">   </w:t>
            </w:r>
            <w:r w:rsidRPr="00E779D5">
              <w:rPr>
                <w:rFonts w:ascii="Times New Roman" w:eastAsia="Times New Roman" w:hAnsi="Times New Roman" w:cs="Times New Roman"/>
                <w:sz w:val="24"/>
                <w:szCs w:val="24"/>
                <w:lang w:eastAsia="ru-RU"/>
              </w:rPr>
              <w:t>с/п-10</w:t>
            </w:r>
            <w:r w:rsidRPr="00E779D5">
              <w:rPr>
                <w:rFonts w:ascii="Times New Roman" w:eastAsia="Times New Roman" w:hAnsi="Times New Roman" w:cs="Times New Roman"/>
                <w:color w:val="800000"/>
                <w:sz w:val="24"/>
                <w:szCs w:val="24"/>
                <w:lang w:eastAsia="ru-RU"/>
              </w:rPr>
              <w:t xml:space="preserve">              </w:t>
            </w:r>
            <w:proofErr w:type="spellStart"/>
            <w:r w:rsidRPr="00E779D5">
              <w:rPr>
                <w:rFonts w:ascii="Times New Roman" w:eastAsia="Times New Roman" w:hAnsi="Times New Roman" w:cs="Times New Roman"/>
                <w:sz w:val="24"/>
                <w:szCs w:val="24"/>
                <w:lang w:eastAsia="ru-RU"/>
              </w:rPr>
              <w:lastRenderedPageBreak/>
              <w:t>Полновское</w:t>
            </w:r>
            <w:proofErr w:type="spellEnd"/>
            <w:r w:rsidRPr="00E779D5">
              <w:rPr>
                <w:rFonts w:ascii="Times New Roman" w:eastAsia="Times New Roman" w:hAnsi="Times New Roman" w:cs="Times New Roman"/>
                <w:sz w:val="24"/>
                <w:szCs w:val="24"/>
                <w:lang w:eastAsia="ru-RU"/>
              </w:rPr>
              <w:t xml:space="preserve"> с/</w:t>
            </w:r>
            <w:proofErr w:type="gramStart"/>
            <w:r w:rsidRPr="00E779D5">
              <w:rPr>
                <w:rFonts w:ascii="Times New Roman" w:eastAsia="Times New Roman" w:hAnsi="Times New Roman" w:cs="Times New Roman"/>
                <w:sz w:val="24"/>
                <w:szCs w:val="24"/>
                <w:lang w:eastAsia="ru-RU"/>
              </w:rPr>
              <w:t>п</w:t>
            </w:r>
            <w:proofErr w:type="gramEnd"/>
            <w:r w:rsidRPr="00E779D5">
              <w:rPr>
                <w:rFonts w:ascii="Times New Roman" w:eastAsia="Times New Roman" w:hAnsi="Times New Roman" w:cs="Times New Roman"/>
                <w:sz w:val="24"/>
                <w:szCs w:val="24"/>
                <w:lang w:eastAsia="ru-RU"/>
              </w:rPr>
              <w:t xml:space="preserve"> -17</w:t>
            </w:r>
          </w:p>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 xml:space="preserve">(технические и </w:t>
            </w:r>
            <w:proofErr w:type="spellStart"/>
            <w:proofErr w:type="gramStart"/>
            <w:r w:rsidRPr="00E779D5">
              <w:rPr>
                <w:rFonts w:ascii="Times New Roman" w:eastAsia="Times New Roman" w:hAnsi="Times New Roman" w:cs="Times New Roman"/>
                <w:sz w:val="24"/>
                <w:szCs w:val="24"/>
              </w:rPr>
              <w:t>арифме</w:t>
            </w:r>
            <w:r w:rsidR="009A657E">
              <w:rPr>
                <w:rFonts w:ascii="Times New Roman" w:eastAsia="Times New Roman" w:hAnsi="Times New Roman" w:cs="Times New Roman"/>
                <w:sz w:val="24"/>
                <w:szCs w:val="24"/>
              </w:rPr>
              <w:t>-</w:t>
            </w:r>
            <w:r w:rsidRPr="00E779D5">
              <w:rPr>
                <w:rFonts w:ascii="Times New Roman" w:eastAsia="Times New Roman" w:hAnsi="Times New Roman" w:cs="Times New Roman"/>
                <w:sz w:val="24"/>
                <w:szCs w:val="24"/>
              </w:rPr>
              <w:t>тические</w:t>
            </w:r>
            <w:proofErr w:type="spellEnd"/>
            <w:proofErr w:type="gramEnd"/>
            <w:r w:rsidRPr="00E779D5">
              <w:rPr>
                <w:rFonts w:ascii="Times New Roman" w:eastAsia="Times New Roman" w:hAnsi="Times New Roman" w:cs="Times New Roman"/>
                <w:sz w:val="24"/>
                <w:szCs w:val="24"/>
              </w:rPr>
              <w:t xml:space="preserve"> ошибки в формах годового отчета)</w:t>
            </w:r>
          </w:p>
        </w:tc>
        <w:tc>
          <w:tcPr>
            <w:tcW w:w="992"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1260"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0,0</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rPr>
            </w:pPr>
            <w:r w:rsidRPr="00E779D5">
              <w:rPr>
                <w:rFonts w:ascii="Times New Roman" w:eastAsia="Times New Roman" w:hAnsi="Times New Roman" w:cs="Times New Roman"/>
                <w:sz w:val="24"/>
                <w:szCs w:val="24"/>
              </w:rPr>
              <w:t>51</w:t>
            </w:r>
          </w:p>
        </w:tc>
      </w:tr>
      <w:tr w:rsidR="00E779D5" w:rsidRPr="00E779D5" w:rsidTr="009A657E">
        <w:trPr>
          <w:trHeight w:val="3124"/>
        </w:trPr>
        <w:tc>
          <w:tcPr>
            <w:tcW w:w="540" w:type="dxa"/>
          </w:tcPr>
          <w:p w:rsidR="00E779D5" w:rsidRPr="00E779D5" w:rsidRDefault="00E779D5" w:rsidP="009A657E">
            <w:pPr>
              <w:spacing w:before="120" w:after="0" w:line="240" w:lineRule="exact"/>
              <w:jc w:val="center"/>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lastRenderedPageBreak/>
              <w:t>6</w:t>
            </w:r>
          </w:p>
        </w:tc>
        <w:tc>
          <w:tcPr>
            <w:tcW w:w="2206"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bCs/>
                <w:sz w:val="24"/>
                <w:szCs w:val="24"/>
                <w:lang w:eastAsia="ru-RU"/>
              </w:rPr>
              <w:t>п.2.9</w:t>
            </w:r>
            <w:r w:rsidRPr="00E779D5">
              <w:rPr>
                <w:rFonts w:ascii="Times New Roman" w:eastAsia="Times New Roman" w:hAnsi="Times New Roman" w:cs="Times New Roman"/>
                <w:sz w:val="24"/>
                <w:szCs w:val="24"/>
                <w:lang w:eastAsia="ru-RU"/>
              </w:rPr>
              <w:t xml:space="preserve"> Нарушение общих требований к бухгалтерской (финансовой) отчетности экономического субъекта, в том числе к ее составу</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
        </w:tc>
        <w:tc>
          <w:tcPr>
            <w:tcW w:w="3014"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proofErr w:type="gramStart"/>
            <w:r w:rsidRPr="00E779D5">
              <w:rPr>
                <w:rFonts w:ascii="Times New Roman" w:eastAsia="Times New Roman" w:hAnsi="Times New Roman" w:cs="Times New Roman"/>
                <w:sz w:val="24"/>
                <w:szCs w:val="24"/>
                <w:lang w:eastAsia="ru-RU"/>
              </w:rPr>
              <w:t xml:space="preserve">Нарушение общих </w:t>
            </w:r>
            <w:proofErr w:type="spellStart"/>
            <w:r w:rsidRPr="00E779D5">
              <w:rPr>
                <w:rFonts w:ascii="Times New Roman" w:eastAsia="Times New Roman" w:hAnsi="Times New Roman" w:cs="Times New Roman"/>
                <w:sz w:val="24"/>
                <w:szCs w:val="24"/>
                <w:lang w:eastAsia="ru-RU"/>
              </w:rPr>
              <w:t>требо</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ваний</w:t>
            </w:r>
            <w:proofErr w:type="spellEnd"/>
            <w:r w:rsidRPr="00E779D5">
              <w:rPr>
                <w:rFonts w:ascii="Times New Roman" w:eastAsia="Times New Roman" w:hAnsi="Times New Roman" w:cs="Times New Roman"/>
                <w:sz w:val="24"/>
                <w:szCs w:val="24"/>
                <w:lang w:eastAsia="ru-RU"/>
              </w:rPr>
              <w:t xml:space="preserve"> к бухгалтерской (финансовой) отчетности экономического субъекта, в том числе к ее составу (нарушение инструкции  «О порядке составления, представления годовой, квартальной </w:t>
            </w:r>
            <w:proofErr w:type="spellStart"/>
            <w:r w:rsidRPr="00E779D5">
              <w:rPr>
                <w:rFonts w:ascii="Times New Roman" w:eastAsia="Times New Roman" w:hAnsi="Times New Roman" w:cs="Times New Roman"/>
                <w:sz w:val="24"/>
                <w:szCs w:val="24"/>
                <w:lang w:eastAsia="ru-RU"/>
              </w:rPr>
              <w:t>бухга</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лтерской</w:t>
            </w:r>
            <w:proofErr w:type="spellEnd"/>
            <w:r w:rsidRPr="00E779D5">
              <w:rPr>
                <w:rFonts w:ascii="Times New Roman" w:eastAsia="Times New Roman" w:hAnsi="Times New Roman" w:cs="Times New Roman"/>
                <w:sz w:val="24"/>
                <w:szCs w:val="24"/>
                <w:lang w:eastAsia="ru-RU"/>
              </w:rPr>
              <w:t xml:space="preserve"> отчетности </w:t>
            </w:r>
            <w:proofErr w:type="spellStart"/>
            <w:r w:rsidRPr="00E779D5">
              <w:rPr>
                <w:rFonts w:ascii="Times New Roman" w:eastAsia="Times New Roman" w:hAnsi="Times New Roman" w:cs="Times New Roman"/>
                <w:sz w:val="24"/>
                <w:szCs w:val="24"/>
                <w:lang w:eastAsia="ru-RU"/>
              </w:rPr>
              <w:t>госу</w:t>
            </w:r>
            <w:proofErr w:type="spellEnd"/>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дарственных (</w:t>
            </w:r>
            <w:proofErr w:type="spellStart"/>
            <w:r w:rsidRPr="00E779D5">
              <w:rPr>
                <w:rFonts w:ascii="Times New Roman" w:eastAsia="Times New Roman" w:hAnsi="Times New Roman" w:cs="Times New Roman"/>
                <w:sz w:val="24"/>
                <w:szCs w:val="24"/>
                <w:lang w:eastAsia="ru-RU"/>
              </w:rPr>
              <w:t>муници</w:t>
            </w:r>
            <w:r w:rsidR="009A657E">
              <w:rPr>
                <w:rFonts w:ascii="Times New Roman" w:eastAsia="Times New Roman" w:hAnsi="Times New Roman" w:cs="Times New Roman"/>
                <w:sz w:val="24"/>
                <w:szCs w:val="24"/>
                <w:lang w:eastAsia="ru-RU"/>
              </w:rPr>
              <w:t>-</w:t>
            </w:r>
            <w:r w:rsidRPr="00E779D5">
              <w:rPr>
                <w:rFonts w:ascii="Times New Roman" w:eastAsia="Times New Roman" w:hAnsi="Times New Roman" w:cs="Times New Roman"/>
                <w:sz w:val="24"/>
                <w:szCs w:val="24"/>
                <w:lang w:eastAsia="ru-RU"/>
              </w:rPr>
              <w:t>пальных</w:t>
            </w:r>
            <w:proofErr w:type="spellEnd"/>
            <w:r w:rsidRPr="00E779D5">
              <w:rPr>
                <w:rFonts w:ascii="Times New Roman" w:eastAsia="Times New Roman" w:hAnsi="Times New Roman" w:cs="Times New Roman"/>
                <w:sz w:val="24"/>
                <w:szCs w:val="24"/>
                <w:lang w:eastAsia="ru-RU"/>
              </w:rPr>
              <w:t>) бюджетных и автономных учреждений», утвержденной приказом Минфина РФ от 25.03.2011 года № 33н.</w:t>
            </w:r>
            <w:proofErr w:type="gramEnd"/>
          </w:p>
        </w:tc>
        <w:tc>
          <w:tcPr>
            <w:tcW w:w="1044"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0,0</w:t>
            </w:r>
          </w:p>
        </w:tc>
        <w:tc>
          <w:tcPr>
            <w:tcW w:w="1620" w:type="dxa"/>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1</w:t>
            </w:r>
          </w:p>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rPr>
              <w:t xml:space="preserve">(Пояснительная записка ф.0503760 содержит не верное </w:t>
            </w:r>
            <w:proofErr w:type="spellStart"/>
            <w:proofErr w:type="gramStart"/>
            <w:r w:rsidRPr="00E779D5">
              <w:rPr>
                <w:rFonts w:ascii="Times New Roman" w:eastAsia="Times New Roman" w:hAnsi="Times New Roman" w:cs="Times New Roman"/>
                <w:sz w:val="24"/>
                <w:szCs w:val="24"/>
              </w:rPr>
              <w:t>наиме</w:t>
            </w:r>
            <w:r w:rsidR="009A657E">
              <w:rPr>
                <w:rFonts w:ascii="Times New Roman" w:eastAsia="Times New Roman" w:hAnsi="Times New Roman" w:cs="Times New Roman"/>
                <w:sz w:val="24"/>
                <w:szCs w:val="24"/>
              </w:rPr>
              <w:t>-</w:t>
            </w:r>
            <w:r w:rsidRPr="00E779D5">
              <w:rPr>
                <w:rFonts w:ascii="Times New Roman" w:eastAsia="Times New Roman" w:hAnsi="Times New Roman" w:cs="Times New Roman"/>
                <w:sz w:val="24"/>
                <w:szCs w:val="24"/>
              </w:rPr>
              <w:t>нование</w:t>
            </w:r>
            <w:proofErr w:type="spellEnd"/>
            <w:proofErr w:type="gramEnd"/>
            <w:r w:rsidRPr="00E779D5">
              <w:rPr>
                <w:rFonts w:ascii="Times New Roman" w:eastAsia="Times New Roman" w:hAnsi="Times New Roman" w:cs="Times New Roman"/>
                <w:sz w:val="24"/>
                <w:szCs w:val="24"/>
              </w:rPr>
              <w:t xml:space="preserve"> раздела)- Управление культуры</w:t>
            </w:r>
          </w:p>
        </w:tc>
        <w:tc>
          <w:tcPr>
            <w:tcW w:w="995"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1638"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992"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1260" w:type="dxa"/>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lang w:eastAsia="ru-RU"/>
              </w:rPr>
            </w:pP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0,0</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sz w:val="24"/>
                <w:szCs w:val="24"/>
                <w:lang w:eastAsia="ru-RU"/>
              </w:rPr>
            </w:pPr>
            <w:r w:rsidRPr="00E779D5">
              <w:rPr>
                <w:rFonts w:ascii="Times New Roman" w:eastAsia="Times New Roman" w:hAnsi="Times New Roman" w:cs="Times New Roman"/>
                <w:sz w:val="24"/>
                <w:szCs w:val="24"/>
                <w:lang w:eastAsia="ru-RU"/>
              </w:rPr>
              <w:t>1</w:t>
            </w:r>
          </w:p>
        </w:tc>
      </w:tr>
      <w:tr w:rsidR="00842EF5" w:rsidRPr="00E779D5" w:rsidTr="009A657E">
        <w:trPr>
          <w:trHeight w:val="315"/>
        </w:trPr>
        <w:tc>
          <w:tcPr>
            <w:tcW w:w="54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r w:rsidRPr="00E779D5">
              <w:rPr>
                <w:rFonts w:ascii="Times New Roman" w:eastAsia="Times New Roman" w:hAnsi="Times New Roman" w:cs="Times New Roman"/>
                <w:color w:val="800000"/>
                <w:sz w:val="24"/>
                <w:szCs w:val="24"/>
                <w:lang w:eastAsia="ru-RU"/>
              </w:rPr>
              <w:t> </w:t>
            </w:r>
          </w:p>
        </w:tc>
        <w:tc>
          <w:tcPr>
            <w:tcW w:w="2206"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color w:val="800000"/>
                <w:sz w:val="24"/>
                <w:szCs w:val="24"/>
              </w:rPr>
            </w:pPr>
            <w:r w:rsidRPr="00E779D5">
              <w:rPr>
                <w:rFonts w:ascii="Times New Roman" w:eastAsia="Times New Roman" w:hAnsi="Times New Roman" w:cs="Times New Roman"/>
                <w:color w:val="800000"/>
                <w:sz w:val="24"/>
                <w:szCs w:val="24"/>
                <w:lang w:eastAsia="ru-RU"/>
              </w:rPr>
              <w:t> </w:t>
            </w:r>
          </w:p>
        </w:tc>
        <w:tc>
          <w:tcPr>
            <w:tcW w:w="3014"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lang w:eastAsia="ru-RU"/>
              </w:rPr>
              <w:t>ИТОГО</w:t>
            </w:r>
          </w:p>
        </w:tc>
        <w:tc>
          <w:tcPr>
            <w:tcW w:w="1044"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0,04</w:t>
            </w:r>
          </w:p>
        </w:tc>
        <w:tc>
          <w:tcPr>
            <w:tcW w:w="162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4</w:t>
            </w:r>
          </w:p>
        </w:tc>
        <w:tc>
          <w:tcPr>
            <w:tcW w:w="995"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11,6</w:t>
            </w:r>
          </w:p>
        </w:tc>
        <w:tc>
          <w:tcPr>
            <w:tcW w:w="163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53</w:t>
            </w:r>
          </w:p>
        </w:tc>
        <w:tc>
          <w:tcPr>
            <w:tcW w:w="992"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0,0</w:t>
            </w:r>
          </w:p>
        </w:tc>
        <w:tc>
          <w:tcPr>
            <w:tcW w:w="126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11</w:t>
            </w:r>
          </w:p>
        </w:tc>
        <w:tc>
          <w:tcPr>
            <w:tcW w:w="1150"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11,64</w:t>
            </w:r>
          </w:p>
        </w:tc>
        <w:tc>
          <w:tcPr>
            <w:tcW w:w="1278" w:type="dxa"/>
            <w:shd w:val="clear" w:color="auto" w:fill="auto"/>
          </w:tcPr>
          <w:p w:rsidR="00E779D5" w:rsidRPr="00E779D5" w:rsidRDefault="00E779D5" w:rsidP="00842EF5">
            <w:pPr>
              <w:spacing w:before="120" w:after="0" w:line="240" w:lineRule="exact"/>
              <w:rPr>
                <w:rFonts w:ascii="Times New Roman" w:eastAsia="Times New Roman" w:hAnsi="Times New Roman" w:cs="Times New Roman"/>
                <w:bCs/>
                <w:sz w:val="24"/>
                <w:szCs w:val="24"/>
              </w:rPr>
            </w:pPr>
            <w:r w:rsidRPr="00E779D5">
              <w:rPr>
                <w:rFonts w:ascii="Times New Roman" w:eastAsia="Times New Roman" w:hAnsi="Times New Roman" w:cs="Times New Roman"/>
                <w:bCs/>
                <w:sz w:val="24"/>
                <w:szCs w:val="24"/>
              </w:rPr>
              <w:t>68</w:t>
            </w:r>
          </w:p>
        </w:tc>
      </w:tr>
    </w:tbl>
    <w:p w:rsidR="00E779D5" w:rsidRDefault="00E779D5" w:rsidP="00FD1860">
      <w:pPr>
        <w:shd w:val="clear" w:color="auto" w:fill="FFFFFF" w:themeFill="background1"/>
        <w:spacing w:after="0" w:line="240" w:lineRule="exact"/>
        <w:jc w:val="center"/>
        <w:rPr>
          <w:rFonts w:ascii="Times New Roman" w:eastAsia="Times New Roman" w:hAnsi="Times New Roman" w:cs="Times New Roman"/>
          <w:sz w:val="28"/>
          <w:szCs w:val="28"/>
        </w:rPr>
      </w:pPr>
    </w:p>
    <w:sectPr w:rsidR="00E779D5" w:rsidSect="001B39A2">
      <w:pgSz w:w="16840" w:h="11906" w:orient="landscape"/>
      <w:pgMar w:top="1418" w:right="567" w:bottom="1418"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D4" w:rsidRDefault="00553ED4" w:rsidP="00930942">
      <w:pPr>
        <w:spacing w:after="0" w:line="240" w:lineRule="auto"/>
      </w:pPr>
      <w:r>
        <w:separator/>
      </w:r>
    </w:p>
  </w:endnote>
  <w:endnote w:type="continuationSeparator" w:id="0">
    <w:p w:rsidR="00553ED4" w:rsidRDefault="00553ED4"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D4" w:rsidRDefault="00553ED4" w:rsidP="00930942">
      <w:pPr>
        <w:spacing w:after="0" w:line="240" w:lineRule="auto"/>
      </w:pPr>
      <w:r>
        <w:separator/>
      </w:r>
    </w:p>
  </w:footnote>
  <w:footnote w:type="continuationSeparator" w:id="0">
    <w:p w:rsidR="00553ED4" w:rsidRDefault="00553ED4"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rsidR="00842EF5" w:rsidRDefault="00842EF5">
        <w:pPr>
          <w:pStyle w:val="af4"/>
          <w:jc w:val="center"/>
        </w:pPr>
        <w:r>
          <w:fldChar w:fldCharType="begin"/>
        </w:r>
        <w:r>
          <w:instrText>PAGE   \* MERGEFORMAT</w:instrText>
        </w:r>
        <w:r>
          <w:fldChar w:fldCharType="separate"/>
        </w:r>
        <w:r>
          <w:rPr>
            <w:noProof/>
          </w:rPr>
          <w:t>2</w:t>
        </w:r>
        <w:r>
          <w:fldChar w:fldCharType="end"/>
        </w:r>
      </w:p>
    </w:sdtContent>
  </w:sdt>
  <w:p w:rsidR="00842EF5" w:rsidRDefault="00842EF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rsidR="00842EF5" w:rsidRDefault="00842EF5">
        <w:pPr>
          <w:pStyle w:val="af4"/>
          <w:jc w:val="center"/>
        </w:pPr>
        <w:r>
          <w:fldChar w:fldCharType="begin"/>
        </w:r>
        <w:r>
          <w:instrText>PAGE   \* MERGEFORMAT</w:instrText>
        </w:r>
        <w:r>
          <w:fldChar w:fldCharType="separate"/>
        </w:r>
        <w:r w:rsidR="0051408A">
          <w:rPr>
            <w:noProof/>
          </w:rPr>
          <w:t>4</w:t>
        </w:r>
        <w:r>
          <w:fldChar w:fldCharType="end"/>
        </w:r>
      </w:p>
    </w:sdtContent>
  </w:sdt>
  <w:p w:rsidR="00842EF5" w:rsidRDefault="00842EF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6286A70"/>
    <w:multiLevelType w:val="hybridMultilevel"/>
    <w:tmpl w:val="FFFFFFFF"/>
    <w:lvl w:ilvl="0" w:tplc="529A5DB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3"/>
  </w:num>
  <w:num w:numId="5">
    <w:abstractNumId w:val="15"/>
  </w:num>
  <w:num w:numId="6">
    <w:abstractNumId w:val="11"/>
  </w:num>
  <w:num w:numId="7">
    <w:abstractNumId w:val="1"/>
  </w:num>
  <w:num w:numId="8">
    <w:abstractNumId w:val="2"/>
  </w:num>
  <w:num w:numId="9">
    <w:abstractNumId w:val="6"/>
  </w:num>
  <w:num w:numId="10">
    <w:abstractNumId w:val="4"/>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8"/>
  </w:num>
  <w:num w:numId="16">
    <w:abstractNumId w:val="16"/>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12DDA"/>
    <w:rsid w:val="00026141"/>
    <w:rsid w:val="00027BB8"/>
    <w:rsid w:val="00031AC5"/>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546"/>
    <w:rsid w:val="000B7DEF"/>
    <w:rsid w:val="000C3174"/>
    <w:rsid w:val="000C31EC"/>
    <w:rsid w:val="000C4162"/>
    <w:rsid w:val="000D26C6"/>
    <w:rsid w:val="000D7ED4"/>
    <w:rsid w:val="000E06F2"/>
    <w:rsid w:val="000E7470"/>
    <w:rsid w:val="0010565F"/>
    <w:rsid w:val="00110C2D"/>
    <w:rsid w:val="0011747F"/>
    <w:rsid w:val="00130D37"/>
    <w:rsid w:val="001330C7"/>
    <w:rsid w:val="00135454"/>
    <w:rsid w:val="00137A09"/>
    <w:rsid w:val="00141221"/>
    <w:rsid w:val="0015044D"/>
    <w:rsid w:val="00156B66"/>
    <w:rsid w:val="00161247"/>
    <w:rsid w:val="00161933"/>
    <w:rsid w:val="00163A87"/>
    <w:rsid w:val="0016582F"/>
    <w:rsid w:val="001778AC"/>
    <w:rsid w:val="001857B5"/>
    <w:rsid w:val="00186858"/>
    <w:rsid w:val="00190391"/>
    <w:rsid w:val="00197561"/>
    <w:rsid w:val="001A0862"/>
    <w:rsid w:val="001B39A2"/>
    <w:rsid w:val="001B3CBB"/>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1CE3"/>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A18BB"/>
    <w:rsid w:val="004B6039"/>
    <w:rsid w:val="004B697E"/>
    <w:rsid w:val="004C03E5"/>
    <w:rsid w:val="004C4FFC"/>
    <w:rsid w:val="004C6D6A"/>
    <w:rsid w:val="004D1DB1"/>
    <w:rsid w:val="004D3333"/>
    <w:rsid w:val="004D3E17"/>
    <w:rsid w:val="004E545C"/>
    <w:rsid w:val="00510BD6"/>
    <w:rsid w:val="005114E9"/>
    <w:rsid w:val="00513128"/>
    <w:rsid w:val="0051408A"/>
    <w:rsid w:val="00517767"/>
    <w:rsid w:val="005251B9"/>
    <w:rsid w:val="00540351"/>
    <w:rsid w:val="00540799"/>
    <w:rsid w:val="00545219"/>
    <w:rsid w:val="00553ED4"/>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023F2"/>
    <w:rsid w:val="0061663A"/>
    <w:rsid w:val="0062090F"/>
    <w:rsid w:val="006231B4"/>
    <w:rsid w:val="0062427C"/>
    <w:rsid w:val="00631918"/>
    <w:rsid w:val="00636328"/>
    <w:rsid w:val="0064674C"/>
    <w:rsid w:val="006547E8"/>
    <w:rsid w:val="006572FE"/>
    <w:rsid w:val="00665BCD"/>
    <w:rsid w:val="00671034"/>
    <w:rsid w:val="006761A3"/>
    <w:rsid w:val="0068689E"/>
    <w:rsid w:val="00687BA8"/>
    <w:rsid w:val="006903C8"/>
    <w:rsid w:val="00694399"/>
    <w:rsid w:val="006B218B"/>
    <w:rsid w:val="006E1EF6"/>
    <w:rsid w:val="006E2C43"/>
    <w:rsid w:val="006E5F7B"/>
    <w:rsid w:val="006E604E"/>
    <w:rsid w:val="006E6E51"/>
    <w:rsid w:val="00706060"/>
    <w:rsid w:val="007253EB"/>
    <w:rsid w:val="00730306"/>
    <w:rsid w:val="007340E5"/>
    <w:rsid w:val="007503F5"/>
    <w:rsid w:val="007528F4"/>
    <w:rsid w:val="007648D1"/>
    <w:rsid w:val="00767E0C"/>
    <w:rsid w:val="00770D17"/>
    <w:rsid w:val="00777FA1"/>
    <w:rsid w:val="00791A90"/>
    <w:rsid w:val="007920EC"/>
    <w:rsid w:val="007A6F35"/>
    <w:rsid w:val="007C2F2E"/>
    <w:rsid w:val="007C7D74"/>
    <w:rsid w:val="007C7FD4"/>
    <w:rsid w:val="007D3D56"/>
    <w:rsid w:val="007F4B31"/>
    <w:rsid w:val="00805E41"/>
    <w:rsid w:val="00814B3F"/>
    <w:rsid w:val="00830F1C"/>
    <w:rsid w:val="00833608"/>
    <w:rsid w:val="00833B3D"/>
    <w:rsid w:val="00833BCE"/>
    <w:rsid w:val="00835372"/>
    <w:rsid w:val="00837015"/>
    <w:rsid w:val="0084229D"/>
    <w:rsid w:val="00842EF5"/>
    <w:rsid w:val="00843AAF"/>
    <w:rsid w:val="008519B7"/>
    <w:rsid w:val="008567F2"/>
    <w:rsid w:val="00867873"/>
    <w:rsid w:val="00876C24"/>
    <w:rsid w:val="00882753"/>
    <w:rsid w:val="008856C9"/>
    <w:rsid w:val="008A489E"/>
    <w:rsid w:val="008B79D1"/>
    <w:rsid w:val="008C3AC8"/>
    <w:rsid w:val="008E2218"/>
    <w:rsid w:val="008E267C"/>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57E"/>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F93"/>
    <w:rsid w:val="00A8412C"/>
    <w:rsid w:val="00A8740F"/>
    <w:rsid w:val="00A87DB9"/>
    <w:rsid w:val="00A919A3"/>
    <w:rsid w:val="00A92316"/>
    <w:rsid w:val="00AA21FE"/>
    <w:rsid w:val="00AB48F8"/>
    <w:rsid w:val="00AC38D7"/>
    <w:rsid w:val="00AC4151"/>
    <w:rsid w:val="00AC6D11"/>
    <w:rsid w:val="00AD7C45"/>
    <w:rsid w:val="00AE46E0"/>
    <w:rsid w:val="00AF28CE"/>
    <w:rsid w:val="00AF368F"/>
    <w:rsid w:val="00B03344"/>
    <w:rsid w:val="00B151FE"/>
    <w:rsid w:val="00B1643F"/>
    <w:rsid w:val="00B20C0C"/>
    <w:rsid w:val="00B24873"/>
    <w:rsid w:val="00B35A75"/>
    <w:rsid w:val="00B52A00"/>
    <w:rsid w:val="00B57AC1"/>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1977"/>
    <w:rsid w:val="00C23FEA"/>
    <w:rsid w:val="00C244DB"/>
    <w:rsid w:val="00C32E5A"/>
    <w:rsid w:val="00C34BFE"/>
    <w:rsid w:val="00C37ACE"/>
    <w:rsid w:val="00C46461"/>
    <w:rsid w:val="00C46D0F"/>
    <w:rsid w:val="00C54130"/>
    <w:rsid w:val="00C60416"/>
    <w:rsid w:val="00C6224E"/>
    <w:rsid w:val="00C64E88"/>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F3855"/>
    <w:rsid w:val="00CF594C"/>
    <w:rsid w:val="00D00083"/>
    <w:rsid w:val="00D06529"/>
    <w:rsid w:val="00D07448"/>
    <w:rsid w:val="00D120C0"/>
    <w:rsid w:val="00D15364"/>
    <w:rsid w:val="00D17411"/>
    <w:rsid w:val="00D21C71"/>
    <w:rsid w:val="00D275BC"/>
    <w:rsid w:val="00D321B9"/>
    <w:rsid w:val="00D40ECB"/>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6F7D"/>
    <w:rsid w:val="00E773BD"/>
    <w:rsid w:val="00E779D5"/>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A47C5"/>
    <w:rsid w:val="00FA52A4"/>
    <w:rsid w:val="00FA713D"/>
    <w:rsid w:val="00FC07AB"/>
    <w:rsid w:val="00FD1860"/>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8428">
      <w:bodyDiv w:val="1"/>
      <w:marLeft w:val="0"/>
      <w:marRight w:val="0"/>
      <w:marTop w:val="0"/>
      <w:marBottom w:val="0"/>
      <w:divBdr>
        <w:top w:val="none" w:sz="0" w:space="0" w:color="auto"/>
        <w:left w:val="none" w:sz="0" w:space="0" w:color="auto"/>
        <w:bottom w:val="none" w:sz="0" w:space="0" w:color="auto"/>
        <w:right w:val="none" w:sz="0" w:space="0" w:color="auto"/>
      </w:divBdr>
    </w:div>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23672/88560379ef9f97900504b83f80e0c700eb5360e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323672/e6420cf5d9e6212071f840a999f1fd7197c5ec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2AFA-3145-441D-A555-C517F2C2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25</Pages>
  <Words>6637</Words>
  <Characters>37835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314</cp:revision>
  <cp:lastPrinted>2025-02-28T11:32:00Z</cp:lastPrinted>
  <dcterms:created xsi:type="dcterms:W3CDTF">2018-07-27T07:24:00Z</dcterms:created>
  <dcterms:modified xsi:type="dcterms:W3CDTF">2025-03-03T06:10:00Z</dcterms:modified>
</cp:coreProperties>
</file>